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89" w:rsidRPr="009421CC" w:rsidRDefault="00F67889" w:rsidP="00F67889">
      <w:pPr>
        <w:spacing w:line="560" w:lineRule="exact"/>
        <w:rPr>
          <w:rFonts w:eastAsia="方正大标宋简体"/>
          <w:sz w:val="36"/>
          <w:szCs w:val="36"/>
        </w:rPr>
      </w:pPr>
      <w:r w:rsidRPr="009421CC">
        <w:rPr>
          <w:rFonts w:eastAsia="方正大标宋简体"/>
          <w:sz w:val="36"/>
          <w:szCs w:val="36"/>
        </w:rPr>
        <w:t>附件</w:t>
      </w:r>
      <w:r w:rsidR="002068F9">
        <w:rPr>
          <w:rFonts w:eastAsia="方正大标宋简体" w:hint="eastAsia"/>
          <w:sz w:val="36"/>
          <w:szCs w:val="36"/>
        </w:rPr>
        <w:t>1</w:t>
      </w:r>
    </w:p>
    <w:p w:rsidR="00F67889" w:rsidRPr="009421CC" w:rsidRDefault="00F67889" w:rsidP="00F67889">
      <w:pPr>
        <w:spacing w:line="560" w:lineRule="exact"/>
        <w:rPr>
          <w:rFonts w:eastAsia="方正大标宋简体"/>
          <w:sz w:val="42"/>
          <w:szCs w:val="42"/>
        </w:rPr>
      </w:pPr>
    </w:p>
    <w:p w:rsidR="00F67889" w:rsidRPr="009421CC" w:rsidRDefault="00F67889" w:rsidP="00F67889">
      <w:pPr>
        <w:spacing w:line="480" w:lineRule="exact"/>
        <w:jc w:val="center"/>
        <w:rPr>
          <w:rFonts w:eastAsia="方正大标宋简体"/>
          <w:color w:val="000000"/>
          <w:sz w:val="42"/>
          <w:szCs w:val="42"/>
        </w:rPr>
      </w:pPr>
      <w:r w:rsidRPr="009421CC">
        <w:rPr>
          <w:rFonts w:eastAsia="方正大标宋简体" w:hint="eastAsia"/>
          <w:color w:val="000000"/>
          <w:sz w:val="42"/>
          <w:szCs w:val="42"/>
        </w:rPr>
        <w:t>《上海期货交易所黄金期货业务细则》修订</w:t>
      </w:r>
      <w:r w:rsidRPr="009421CC">
        <w:rPr>
          <w:rFonts w:eastAsia="方正大标宋简体"/>
          <w:color w:val="000000"/>
          <w:sz w:val="42"/>
          <w:szCs w:val="42"/>
        </w:rPr>
        <w:t>对照表</w:t>
      </w:r>
    </w:p>
    <w:p w:rsidR="00F67889" w:rsidRPr="009421CC" w:rsidRDefault="00F67889" w:rsidP="00F67889">
      <w:pPr>
        <w:spacing w:line="480" w:lineRule="exact"/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  <w:r w:rsidRPr="009421CC">
        <w:rPr>
          <w:rFonts w:ascii="方正楷体简体" w:eastAsia="方正楷体简体" w:hAnsiTheme="minorHAnsi" w:cstheme="minorBidi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3"/>
        <w:gridCol w:w="7088"/>
      </w:tblGrid>
      <w:tr w:rsidR="00F67889" w:rsidRPr="009421CC" w:rsidTr="00661467">
        <w:trPr>
          <w:trHeight w:val="280"/>
        </w:trPr>
        <w:tc>
          <w:tcPr>
            <w:tcW w:w="6833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修订后条款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第三十五条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黄金交割结算与发票流程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（一）黄金期货的交割结算：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黄金期货的交割结算价为该合约最后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交割结算时，买卖双方按该合约的交割结算价进行结算。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第三十五条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黄金交割结算与发票流程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（一）黄金期货的交割结算：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黄金期货的交割结算价为该合约最后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Pr="009421CC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9421CC">
              <w:rPr>
                <w:rFonts w:eastAsia="方正仿宋简体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的</w:t>
            </w:r>
            <w:r w:rsidRPr="009421CC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9421CC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平均</w:t>
            </w:r>
            <w:r w:rsidRPr="009421CC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值</w:t>
            </w:r>
            <w:r w:rsidRPr="009421CC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。交割结算时，买卖双方按该合约的交割结算价进行结算。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第五十二条</w:t>
            </w: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23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第五十二条</w:t>
            </w: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2025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年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7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月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16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日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年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月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日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起实施。</w:t>
            </w:r>
          </w:p>
        </w:tc>
      </w:tr>
    </w:tbl>
    <w:p w:rsidR="00F67889" w:rsidRPr="009421CC" w:rsidRDefault="00F67889" w:rsidP="00F67889">
      <w:pPr>
        <w:rPr>
          <w:rFonts w:asciiTheme="minorHAnsi" w:eastAsiaTheme="minorEastAsia" w:hAnsiTheme="minorHAnsi" w:cstheme="minorBidi"/>
          <w:szCs w:val="24"/>
        </w:rPr>
      </w:pPr>
    </w:p>
    <w:p w:rsidR="00F67889" w:rsidRPr="009421CC" w:rsidRDefault="00F67889" w:rsidP="00F67889">
      <w:pPr>
        <w:rPr>
          <w:rFonts w:asciiTheme="minorHAnsi" w:eastAsiaTheme="minorEastAsia" w:hAnsiTheme="minorHAnsi" w:cstheme="minorBidi"/>
          <w:szCs w:val="24"/>
        </w:rPr>
        <w:sectPr w:rsidR="00F67889" w:rsidRPr="009421CC" w:rsidSect="007961D6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spacing w:line="480" w:lineRule="exact"/>
        <w:jc w:val="center"/>
        <w:rPr>
          <w:rFonts w:eastAsia="方正大标宋简体"/>
          <w:color w:val="000000"/>
          <w:sz w:val="42"/>
          <w:szCs w:val="42"/>
        </w:rPr>
      </w:pPr>
      <w:r w:rsidRPr="009421CC">
        <w:rPr>
          <w:rFonts w:eastAsia="方正大标宋简体"/>
          <w:color w:val="000000"/>
          <w:sz w:val="42"/>
          <w:szCs w:val="42"/>
        </w:rPr>
        <w:t>《上海期货交易所天然橡胶期货业务细则》</w:t>
      </w:r>
      <w:r w:rsidRPr="009421CC">
        <w:rPr>
          <w:rFonts w:eastAsia="方正大标宋简体" w:hint="eastAsia"/>
          <w:color w:val="000000"/>
          <w:sz w:val="42"/>
          <w:szCs w:val="42"/>
        </w:rPr>
        <w:t>修订</w:t>
      </w:r>
      <w:r w:rsidRPr="009421CC">
        <w:rPr>
          <w:rFonts w:eastAsia="方正大标宋简体"/>
          <w:color w:val="000000"/>
          <w:sz w:val="42"/>
          <w:szCs w:val="42"/>
        </w:rPr>
        <w:t>对照表</w:t>
      </w: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  <w:r w:rsidRPr="009421CC">
        <w:rPr>
          <w:rFonts w:ascii="方正楷体简体" w:eastAsia="方正楷体简体" w:hAnsiTheme="minorHAnsi" w:cstheme="minorBidi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3"/>
        <w:gridCol w:w="7088"/>
      </w:tblGrid>
      <w:tr w:rsidR="00F67889" w:rsidRPr="009421CC" w:rsidTr="00661467">
        <w:trPr>
          <w:trHeight w:val="280"/>
        </w:trPr>
        <w:tc>
          <w:tcPr>
            <w:tcW w:w="6833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修订后条款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>第</w:t>
            </w:r>
            <w:r w:rsidRPr="009421CC">
              <w:rPr>
                <w:rFonts w:ascii="方正仿宋简体" w:eastAsia="方正仿宋简体"/>
                <w:b/>
                <w:color w:val="000000"/>
                <w:kern w:val="0"/>
                <w:sz w:val="30"/>
                <w:szCs w:val="30"/>
              </w:rPr>
              <w:t>二十三条</w:t>
            </w:r>
            <w:r w:rsidRPr="009421CC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天然橡胶期货合约交割结算的基准价为该合约最后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ascii="方正仿宋简体"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ascii="方正仿宋简体"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第二十三条 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天然橡胶期货合约交割结算的基准价为该合约最后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的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平均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值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第三十五条</w:t>
            </w:r>
            <w:r w:rsidRPr="009421CC">
              <w:rPr>
                <w:rFonts w:ascii="方正仿宋简体" w:eastAsia="方正仿宋简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本细则自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23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889" w:rsidRPr="009421CC" w:rsidRDefault="00F67889" w:rsidP="00B746EA">
            <w:pPr>
              <w:widowControl/>
              <w:spacing w:line="560" w:lineRule="exact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第三十五条</w:t>
            </w:r>
            <w:r w:rsidRPr="009421CC">
              <w:rPr>
                <w:rFonts w:ascii="方正仿宋简体" w:eastAsia="方正仿宋简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2025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年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7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月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16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日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年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月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日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起实施。</w:t>
            </w:r>
          </w:p>
        </w:tc>
      </w:tr>
    </w:tbl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  <w:sectPr w:rsidR="00F67889" w:rsidRPr="009421CC" w:rsidSect="007961D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</w:p>
    <w:p w:rsidR="00F67889" w:rsidRPr="009421CC" w:rsidRDefault="00F67889" w:rsidP="00F67889">
      <w:pPr>
        <w:jc w:val="center"/>
        <w:rPr>
          <w:rFonts w:eastAsia="方正大标宋简体"/>
          <w:color w:val="000000"/>
          <w:sz w:val="42"/>
          <w:szCs w:val="42"/>
        </w:rPr>
      </w:pPr>
      <w:r w:rsidRPr="009421CC">
        <w:rPr>
          <w:rFonts w:eastAsia="方正大标宋简体"/>
          <w:color w:val="000000"/>
          <w:sz w:val="42"/>
          <w:szCs w:val="42"/>
        </w:rPr>
        <w:t>《上海期货交易所漂白硫酸盐针叶木浆期货业务细则》</w:t>
      </w:r>
      <w:r w:rsidRPr="009421CC">
        <w:rPr>
          <w:rFonts w:eastAsia="方正大标宋简体" w:hint="eastAsia"/>
          <w:color w:val="000000"/>
          <w:sz w:val="42"/>
          <w:szCs w:val="42"/>
        </w:rPr>
        <w:t>修订</w:t>
      </w:r>
      <w:r w:rsidRPr="009421CC">
        <w:rPr>
          <w:rFonts w:eastAsia="方正大标宋简体"/>
          <w:color w:val="000000"/>
          <w:sz w:val="42"/>
          <w:szCs w:val="42"/>
        </w:rPr>
        <w:t>对照表</w:t>
      </w:r>
    </w:p>
    <w:p w:rsidR="00F67889" w:rsidRPr="009421CC" w:rsidRDefault="00F67889" w:rsidP="00F67889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</w:p>
    <w:p w:rsidR="00F67889" w:rsidRPr="009421CC" w:rsidRDefault="00F67889" w:rsidP="00F67889">
      <w:pPr>
        <w:spacing w:line="540" w:lineRule="exact"/>
        <w:ind w:firstLineChars="100" w:firstLine="280"/>
        <w:rPr>
          <w:rFonts w:ascii="方正楷体简体" w:eastAsia="方正楷体简体" w:hAnsiTheme="minorHAnsi" w:cstheme="minorBidi"/>
          <w:sz w:val="28"/>
          <w:szCs w:val="28"/>
        </w:rPr>
      </w:pPr>
      <w:r w:rsidRPr="009421CC">
        <w:rPr>
          <w:rFonts w:ascii="方正楷体简体" w:eastAsia="方正楷体简体" w:hAnsiTheme="minorHAnsi" w:cstheme="minorBidi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3"/>
        <w:gridCol w:w="7088"/>
      </w:tblGrid>
      <w:tr w:rsidR="00F67889" w:rsidRPr="009421CC" w:rsidTr="00661467">
        <w:trPr>
          <w:trHeight w:val="280"/>
        </w:trPr>
        <w:tc>
          <w:tcPr>
            <w:tcW w:w="6833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微软雅黑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 w:rsidRPr="009421CC"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4F81BD" w:themeFill="accent1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kern w:val="0"/>
                <w:sz w:val="30"/>
                <w:szCs w:val="30"/>
              </w:rPr>
            </w:pPr>
            <w:r w:rsidRPr="009421CC">
              <w:rPr>
                <w:rFonts w:ascii="微软雅黑" w:eastAsia="微软雅黑" w:hAnsi="微软雅黑" w:hint="eastAsia"/>
                <w:b/>
                <w:color w:val="FFFFFF" w:themeColor="background1"/>
                <w:kern w:val="0"/>
                <w:sz w:val="30"/>
                <w:szCs w:val="30"/>
              </w:rPr>
              <w:t>修订后条款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第</w:t>
            </w: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二十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r w:rsidRPr="009421CC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条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漂针浆期货合约交割结算的基准价为该合约最后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第二十一条</w:t>
            </w:r>
            <w:r w:rsidRPr="009421CC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漂针浆期货合约交割结算的基准价为该合约最后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5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的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9421CC">
              <w:rPr>
                <w:rFonts w:ascii="方正仿宋简体" w:eastAsia="方正仿宋简体" w:hint="eastAsia"/>
                <w:color w:val="000000"/>
                <w:kern w:val="0"/>
                <w:sz w:val="30"/>
                <w:szCs w:val="30"/>
              </w:rPr>
              <w:t>平均</w:t>
            </w:r>
            <w:r w:rsidRPr="009421CC">
              <w:rPr>
                <w:rFonts w:ascii="方正仿宋简体" w:eastAsia="方正仿宋简体" w:hint="eastAsia"/>
                <w:b/>
                <w:color w:val="FF0000"/>
                <w:kern w:val="0"/>
                <w:sz w:val="30"/>
                <w:szCs w:val="30"/>
              </w:rPr>
              <w:t>值</w:t>
            </w:r>
            <w:r w:rsidRPr="009421CC">
              <w:rPr>
                <w:rFonts w:ascii="方正仿宋简体" w:eastAsia="方正仿宋简体" w:hint="eastAsia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F67889" w:rsidRPr="009421CC" w:rsidTr="00661467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F67889" w:rsidRPr="009421CC" w:rsidRDefault="00F67889" w:rsidP="00661467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第五十一条</w:t>
            </w:r>
            <w:r w:rsidRPr="009421CC">
              <w:rPr>
                <w:rFonts w:eastAsia="方正仿宋简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本细则自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2024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年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月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23</w:t>
            </w:r>
            <w:r w:rsidRPr="009421CC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67889" w:rsidRPr="009421CC" w:rsidRDefault="00F67889" w:rsidP="00B746EA">
            <w:pPr>
              <w:widowControl/>
              <w:spacing w:line="560" w:lineRule="exact"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421CC">
              <w:rPr>
                <w:rFonts w:eastAsia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第五十一条</w:t>
            </w:r>
            <w:r w:rsidRPr="009421CC">
              <w:rPr>
                <w:rFonts w:eastAsia="方正仿宋简体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eastAsia="方正仿宋简体"/>
                <w:b/>
                <w:color w:val="FF0000"/>
                <w:kern w:val="0"/>
                <w:sz w:val="30"/>
                <w:szCs w:val="30"/>
              </w:rPr>
              <w:t>2025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年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7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月</w:t>
            </w:r>
            <w:r w:rsidR="000D0A90"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16</w:t>
            </w:r>
            <w:r>
              <w:rPr>
                <w:rFonts w:eastAsia="方正仿宋简体" w:hint="eastAsia"/>
                <w:b/>
                <w:color w:val="FF0000"/>
                <w:kern w:val="0"/>
                <w:sz w:val="30"/>
                <w:szCs w:val="30"/>
              </w:rPr>
              <w:t>日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年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月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31174B">
              <w:rPr>
                <w:rFonts w:eastAsia="方正仿宋简体"/>
                <w:dstrike/>
                <w:color w:val="000000"/>
                <w:kern w:val="0"/>
                <w:sz w:val="30"/>
                <w:szCs w:val="30"/>
              </w:rPr>
              <w:t>日</w:t>
            </w:r>
            <w:r w:rsidRPr="009421CC">
              <w:rPr>
                <w:rFonts w:eastAsia="方正仿宋简体"/>
                <w:color w:val="000000"/>
                <w:kern w:val="0"/>
                <w:sz w:val="30"/>
                <w:szCs w:val="30"/>
              </w:rPr>
              <w:t>起实施。</w:t>
            </w:r>
          </w:p>
        </w:tc>
      </w:tr>
    </w:tbl>
    <w:p w:rsidR="00FD58C7" w:rsidRPr="00F67889" w:rsidRDefault="00FD58C7" w:rsidP="00F67889">
      <w:pPr>
        <w:spacing w:line="20" w:lineRule="exact"/>
      </w:pPr>
    </w:p>
    <w:sectPr w:rsidR="00FD58C7" w:rsidRPr="00F67889" w:rsidSect="00F678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69" w:rsidRDefault="005C2069" w:rsidP="00F67889">
      <w:r>
        <w:separator/>
      </w:r>
    </w:p>
  </w:endnote>
  <w:endnote w:type="continuationSeparator" w:id="0">
    <w:p w:rsidR="005C2069" w:rsidRDefault="005C2069" w:rsidP="00F6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7866"/>
      <w:docPartObj>
        <w:docPartGallery w:val="Page Numbers (Bottom of Page)"/>
        <w:docPartUnique/>
      </w:docPartObj>
    </w:sdtPr>
    <w:sdtContent>
      <w:p w:rsidR="00F67889" w:rsidRDefault="00FD1C0F">
        <w:pPr>
          <w:pStyle w:val="a4"/>
          <w:jc w:val="center"/>
        </w:pPr>
        <w:fldSimple w:instr=" PAGE   \* MERGEFORMAT ">
          <w:r w:rsidR="00420528" w:rsidRPr="00420528">
            <w:rPr>
              <w:noProof/>
              <w:lang w:val="zh-CN"/>
            </w:rPr>
            <w:t>3</w:t>
          </w:r>
        </w:fldSimple>
      </w:p>
    </w:sdtContent>
  </w:sdt>
  <w:p w:rsidR="00F67889" w:rsidRDefault="00F678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69" w:rsidRDefault="005C2069" w:rsidP="00F67889">
      <w:r>
        <w:separator/>
      </w:r>
    </w:p>
  </w:footnote>
  <w:footnote w:type="continuationSeparator" w:id="0">
    <w:p w:rsidR="005C2069" w:rsidRDefault="005C2069" w:rsidP="00F67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889"/>
    <w:rsid w:val="00082266"/>
    <w:rsid w:val="000D0A90"/>
    <w:rsid w:val="001F3800"/>
    <w:rsid w:val="002068F9"/>
    <w:rsid w:val="0031174B"/>
    <w:rsid w:val="00420528"/>
    <w:rsid w:val="00490DA7"/>
    <w:rsid w:val="005511EF"/>
    <w:rsid w:val="00583888"/>
    <w:rsid w:val="005C2069"/>
    <w:rsid w:val="009F4672"/>
    <w:rsid w:val="00A43DC2"/>
    <w:rsid w:val="00B746EA"/>
    <w:rsid w:val="00BE44FC"/>
    <w:rsid w:val="00E15A58"/>
    <w:rsid w:val="00F67889"/>
    <w:rsid w:val="00FD1C0F"/>
    <w:rsid w:val="00FD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8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8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>SHFE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季铄人</dc:creator>
  <cp:lastModifiedBy>郑子函</cp:lastModifiedBy>
  <cp:revision>2</cp:revision>
  <dcterms:created xsi:type="dcterms:W3CDTF">2025-06-13T08:59:00Z</dcterms:created>
  <dcterms:modified xsi:type="dcterms:W3CDTF">2025-06-13T08:59:00Z</dcterms:modified>
</cp:coreProperties>
</file>