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default"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附件2</w:t>
      </w:r>
    </w:p>
    <w:p>
      <w:pPr>
        <w:pStyle w:val="12"/>
        <w:ind w:firstLine="272" w:firstLineChars="62"/>
        <w:jc w:val="center"/>
        <w:rPr>
          <w:rFonts w:hint="eastAsia" w:eastAsia="方正小标宋简体"/>
          <w:kern w:val="2"/>
          <w:sz w:val="44"/>
          <w:lang w:val="en-US" w:eastAsia="zh-CN"/>
        </w:rPr>
      </w:pPr>
      <w:r>
        <w:rPr>
          <w:rFonts w:hint="eastAsia" w:eastAsia="方正小标宋简体"/>
          <w:kern w:val="2"/>
          <w:sz w:val="44"/>
          <w:lang w:val="en-US" w:eastAsia="zh-CN"/>
        </w:rPr>
        <w:t>《郑州商品交易所花生仁期货业务细则》修订案</w:t>
      </w:r>
    </w:p>
    <w:bookmarkEnd w:id="0"/>
    <w:p>
      <w:pPr>
        <w:numPr>
          <w:ilvl w:val="0"/>
          <w:numId w:val="0"/>
        </w:numPr>
        <w:jc w:val="both"/>
        <w:rPr>
          <w:rFonts w:hint="eastAsia" w:ascii="楷体" w:hAnsi="楷体" w:eastAsia="楷体" w:cs="楷体"/>
          <w:color w:val="000000"/>
          <w:sz w:val="28"/>
          <w:szCs w:val="28"/>
          <w:lang w:val="en-US" w:eastAsia="zh-CN"/>
        </w:rPr>
      </w:pPr>
      <w:r>
        <w:rPr>
          <w:rFonts w:ascii="楷体" w:hAnsi="楷体" w:eastAsia="楷体" w:cs="楷体"/>
          <w:color w:val="000000"/>
          <w:sz w:val="28"/>
          <w:szCs w:val="28"/>
        </w:rPr>
        <w:t>（202</w:t>
      </w:r>
      <w:r>
        <w:rPr>
          <w:rFonts w:hint="eastAsia" w:ascii="楷体" w:hAnsi="楷体" w:eastAsia="楷体" w:cs="楷体"/>
          <w:color w:val="000000"/>
          <w:sz w:val="28"/>
          <w:szCs w:val="28"/>
          <w:lang w:val="en-US" w:eastAsia="zh-CN"/>
        </w:rPr>
        <w:t>4</w:t>
      </w:r>
      <w:r>
        <w:rPr>
          <w:rFonts w:ascii="楷体" w:hAnsi="楷体" w:eastAsia="楷体" w:cs="楷体"/>
          <w:color w:val="000000"/>
          <w:sz w:val="28"/>
          <w:szCs w:val="28"/>
        </w:rPr>
        <w:t>年</w:t>
      </w:r>
      <w:r>
        <w:rPr>
          <w:rFonts w:hint="eastAsia" w:ascii="楷体" w:hAnsi="楷体" w:eastAsia="楷体" w:cs="楷体"/>
          <w:color w:val="000000"/>
          <w:sz w:val="28"/>
          <w:szCs w:val="28"/>
          <w:lang w:val="en-US" w:eastAsia="zh-CN"/>
        </w:rPr>
        <w:t>5</w:t>
      </w:r>
      <w:r>
        <w:rPr>
          <w:rFonts w:hint="eastAsia" w:ascii="楷体" w:hAnsi="楷体" w:eastAsia="楷体" w:cs="楷体"/>
          <w:color w:val="000000"/>
          <w:sz w:val="28"/>
          <w:szCs w:val="28"/>
        </w:rPr>
        <w:t>月1</w:t>
      </w:r>
      <w:r>
        <w:rPr>
          <w:rFonts w:hint="eastAsia" w:ascii="楷体" w:hAnsi="楷体" w:eastAsia="楷体" w:cs="楷体"/>
          <w:color w:val="000000"/>
          <w:sz w:val="28"/>
          <w:szCs w:val="28"/>
          <w:lang w:val="en-US" w:eastAsia="zh-CN"/>
        </w:rPr>
        <w:t>7</w:t>
      </w:r>
      <w:r>
        <w:rPr>
          <w:rFonts w:hint="eastAsia" w:ascii="楷体" w:hAnsi="楷体" w:eastAsia="楷体" w:cs="楷体"/>
          <w:color w:val="000000"/>
          <w:sz w:val="28"/>
          <w:szCs w:val="28"/>
        </w:rPr>
        <w:t>日郑州商品交易所第八届理事会第</w:t>
      </w:r>
      <w:r>
        <w:rPr>
          <w:rFonts w:hint="eastAsia" w:ascii="楷体" w:hAnsi="楷体" w:eastAsia="楷体" w:cs="楷体"/>
          <w:color w:val="000000"/>
          <w:sz w:val="28"/>
          <w:szCs w:val="28"/>
          <w:lang w:eastAsia="zh-CN"/>
        </w:rPr>
        <w:t>十四</w:t>
      </w:r>
      <w:r>
        <w:rPr>
          <w:rFonts w:hint="eastAsia" w:ascii="楷体" w:hAnsi="楷体" w:eastAsia="楷体" w:cs="楷体"/>
          <w:color w:val="000000"/>
          <w:sz w:val="28"/>
          <w:szCs w:val="28"/>
        </w:rPr>
        <w:t>次会议审议</w:t>
      </w:r>
      <w:r>
        <w:rPr>
          <w:rFonts w:hint="eastAsia" w:ascii="楷体" w:hAnsi="楷体" w:eastAsia="楷体" w:cs="楷体"/>
          <w:color w:val="000000"/>
          <w:sz w:val="28"/>
          <w:szCs w:val="28"/>
          <w:lang w:eastAsia="zh-CN"/>
        </w:rPr>
        <w:t>通过，</w:t>
      </w:r>
      <w:r>
        <w:rPr>
          <w:rFonts w:hint="eastAsia" w:ascii="楷体" w:hAnsi="楷体" w:eastAsia="楷体" w:cs="楷体"/>
          <w:color w:val="000000"/>
          <w:sz w:val="28"/>
          <w:szCs w:val="28"/>
          <w:lang w:val="en-US" w:eastAsia="zh-CN"/>
        </w:rPr>
        <w:t>自2024年6月3日起施行）</w:t>
      </w:r>
    </w:p>
    <w:p>
      <w:pPr>
        <w:pStyle w:val="12"/>
        <w:ind w:firstLine="272" w:firstLineChars="62"/>
        <w:jc w:val="center"/>
        <w:rPr>
          <w:rFonts w:hint="eastAsia" w:eastAsia="方正小标宋简体"/>
          <w:kern w:val="2"/>
          <w:sz w:val="44"/>
          <w:lang w:val="en-US" w:eastAsia="zh-CN"/>
        </w:rPr>
      </w:pPr>
    </w:p>
    <w:p>
      <w:pPr>
        <w:pStyle w:val="12"/>
        <w:ind w:firstLine="838" w:firstLineChars="262"/>
        <w:rPr>
          <w:kern w:val="2"/>
          <w:lang w:val="en-US"/>
        </w:rPr>
      </w:pPr>
      <w:r>
        <w:rPr>
          <w:kern w:val="2"/>
          <w:lang w:val="en-US"/>
        </w:rPr>
        <w:t>对《郑州商品交易所花生仁期货业务细则》作如下修订：</w:t>
      </w:r>
    </w:p>
    <w:p>
      <w:pPr>
        <w:pStyle w:val="12"/>
        <w:ind w:firstLine="640"/>
        <w:outlineLvl w:val="0"/>
        <w:rPr>
          <w:kern w:val="2"/>
          <w:lang w:val="en-US"/>
        </w:rPr>
      </w:pPr>
      <w:r>
        <w:rPr>
          <w:kern w:val="2"/>
          <w:lang w:val="en-US"/>
        </w:rPr>
        <w:t>一、将第六条修订为：</w:t>
      </w:r>
    </w:p>
    <w:p>
      <w:pPr>
        <w:pStyle w:val="12"/>
        <w:ind w:firstLine="640"/>
        <w:rPr>
          <w:kern w:val="2"/>
          <w:lang w:val="en-US"/>
        </w:rPr>
      </w:pPr>
      <w:r>
        <w:rPr>
          <w:rFonts w:hint="eastAsia"/>
          <w:kern w:val="2"/>
          <w:lang w:val="en-US" w:eastAsia="zh-CN"/>
        </w:rPr>
        <w:t>“</w:t>
      </w:r>
      <w:r>
        <w:rPr>
          <w:kern w:val="2"/>
          <w:lang w:val="en-US"/>
        </w:rPr>
        <w:t>花生期货合约交割月份为1、3、4、5、10、11、12月。</w:t>
      </w:r>
      <w:r>
        <w:rPr>
          <w:rFonts w:hint="eastAsia"/>
          <w:kern w:val="2"/>
          <w:lang w:val="en-US" w:eastAsia="zh-CN"/>
        </w:rPr>
        <w:t>”</w:t>
      </w:r>
    </w:p>
    <w:p>
      <w:pPr>
        <w:pStyle w:val="12"/>
        <w:ind w:firstLine="640" w:firstLineChars="0"/>
        <w:rPr>
          <w:kern w:val="2"/>
          <w:lang w:val="en-US"/>
        </w:rPr>
      </w:pPr>
      <w:r>
        <w:rPr>
          <w:kern w:val="2"/>
          <w:lang w:val="en-US"/>
        </w:rPr>
        <w:t>二、将第十五条修订为：</w:t>
      </w:r>
    </w:p>
    <w:p>
      <w:pPr>
        <w:pStyle w:val="12"/>
        <w:ind w:firstLine="640"/>
      </w:pPr>
      <w:r>
        <w:rPr>
          <w:rFonts w:hint="eastAsia"/>
          <w:lang w:eastAsia="zh-CN"/>
        </w:rPr>
        <w:t>“</w:t>
      </w:r>
      <w:r>
        <w:t>每年1月、5月第15个交易日之前（含该日）注册的花生期货标准仓单，应当在当年1月、5月第15个交易日之前（含该日）全部注销。</w:t>
      </w:r>
    </w:p>
    <w:p>
      <w:pPr>
        <w:pStyle w:val="12"/>
        <w:ind w:firstLine="640"/>
      </w:pPr>
      <w:r>
        <w:rPr>
          <w:rFonts w:hint="eastAsia"/>
          <w:lang w:eastAsia="zh-CN"/>
        </w:rPr>
        <w:t>“</w:t>
      </w:r>
      <w:r>
        <w:t>每年5月第16个交易日（含该日）至8月最后一个交易日（含该日）不受理花生期货标准仓单注册申请。</w:t>
      </w:r>
      <w:r>
        <w:rPr>
          <w:rFonts w:hint="eastAsia"/>
          <w:lang w:eastAsia="zh-CN"/>
        </w:rPr>
        <w:t>”</w:t>
      </w:r>
    </w:p>
    <w:p>
      <w:pPr>
        <w:pStyle w:val="12"/>
        <w:ind w:firstLine="640" w:firstLineChars="0"/>
        <w:rPr>
          <w:kern w:val="2"/>
          <w:lang w:val="en-US"/>
        </w:rPr>
      </w:pPr>
      <w:r>
        <w:rPr>
          <w:kern w:val="2"/>
          <w:lang w:val="en-US"/>
        </w:rPr>
        <w:t>三、将第四十条第四款修订为：</w:t>
      </w:r>
    </w:p>
    <w:p>
      <w:pPr>
        <w:pStyle w:val="12"/>
        <w:ind w:firstLine="640"/>
      </w:pPr>
      <w:r>
        <w:rPr>
          <w:rFonts w:hint="eastAsia"/>
          <w:lang w:eastAsia="zh-CN"/>
        </w:rPr>
        <w:t>“</w:t>
      </w:r>
      <w:r>
        <w:t>交割服务机构自交割月前一月第13个交易日开始接受交割预报。交割服务机构应当在接到会员《花生车（船）板交割预报单》之日起（含该日）2个工作日内，通过会员服务系统回复会员能够接收的货物数量。会员应当在接到交割服务机构同意接收的回复之日起（含该日）2个工作日之内，代客户或由客户直接向交割服务机构交纳30元/吨的交割预报定金。交割服务机构应当在收到交割预报定金之日起（含该日）的第1个工作日，向卖方会员开具《花生车（船）板接收通知单》，视为交割预报完成。会员应当及时将交割预报结果通知客户。</w:t>
      </w:r>
      <w:r>
        <w:rPr>
          <w:rFonts w:hint="eastAsia"/>
          <w:lang w:eastAsia="zh-CN"/>
        </w:rPr>
        <w:t>”</w:t>
      </w:r>
    </w:p>
    <w:p>
      <w:pPr>
        <w:pStyle w:val="12"/>
        <w:ind w:firstLine="640"/>
        <w:rPr>
          <w:lang w:val="en-US"/>
        </w:rPr>
      </w:pPr>
      <w:r>
        <w:rPr>
          <w:lang w:val="en-US"/>
        </w:rPr>
        <w:t>四、删除第四十三条：</w:t>
      </w:r>
    </w:p>
    <w:p>
      <w:pPr>
        <w:pStyle w:val="12"/>
        <w:ind w:firstLine="640"/>
        <w:rPr>
          <w:rFonts w:hint="eastAsia" w:eastAsia="仿宋"/>
          <w:lang w:eastAsia="zh-CN"/>
        </w:rPr>
      </w:pPr>
      <w:r>
        <w:rPr>
          <w:rFonts w:hint="eastAsia"/>
          <w:lang w:eastAsia="zh-CN"/>
        </w:rPr>
        <w:t>“</w:t>
      </w:r>
      <w:r>
        <w:t>花生期货车（船）板交割委托交易所办理结算，且货物到达接受交割预报的交割服务机构的，自货物全部到达之日起2个工作日内，交割预报定金予以返还；部分到达的，按实际到达量返还；未到达的，不予返还。不委托交易所办理结算的，自双方签订《车（船）板交割协议书》之日起2个工作日内，交割预报定金予以返还。</w:t>
      </w:r>
      <w:r>
        <w:rPr>
          <w:rFonts w:hint="eastAsia"/>
          <w:lang w:eastAsia="zh-CN"/>
        </w:rPr>
        <w:t>”</w:t>
      </w:r>
    </w:p>
    <w:p>
      <w:pPr>
        <w:pStyle w:val="12"/>
        <w:ind w:firstLine="640"/>
        <w:rPr>
          <w:lang w:val="en-US"/>
        </w:rPr>
      </w:pPr>
      <w:r>
        <w:rPr>
          <w:lang w:val="en-US"/>
        </w:rPr>
        <w:t>五、将</w:t>
      </w:r>
      <w:r>
        <w:rPr>
          <w:rFonts w:hint="eastAsia"/>
          <w:lang w:val="en-US" w:eastAsia="zh-CN"/>
        </w:rPr>
        <w:t>原</w:t>
      </w:r>
      <w:r>
        <w:rPr>
          <w:lang w:val="en-US"/>
        </w:rPr>
        <w:t>第四十四条修订为：</w:t>
      </w:r>
    </w:p>
    <w:p>
      <w:pPr>
        <w:pStyle w:val="12"/>
        <w:ind w:firstLine="640"/>
      </w:pPr>
      <w:r>
        <w:rPr>
          <w:rFonts w:hint="eastAsia"/>
          <w:lang w:eastAsia="zh-CN"/>
        </w:rPr>
        <w:t>“</w:t>
      </w:r>
      <w:r>
        <w:t>自第三交割日起（含该日）3个交易日内，花生买卖双方就车（船）板交割事宜进行协商。</w:t>
      </w:r>
    </w:p>
    <w:p>
      <w:pPr>
        <w:pStyle w:val="12"/>
        <w:ind w:firstLine="640"/>
      </w:pPr>
      <w:r>
        <w:rPr>
          <w:rFonts w:hint="eastAsia"/>
          <w:lang w:eastAsia="zh-CN"/>
        </w:rPr>
        <w:t>“</w:t>
      </w:r>
      <w:r>
        <w:t>第三交割日起（含该日）第3个交易日下午1时30分前，买方应当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有关交割违约的规定处理。花生买卖双方完成《车（船）板交货事项确认单》后，于当日签订《车（船）板交割协议书》，确定结算方式、交货地点等。</w:t>
      </w:r>
      <w:r>
        <w:rPr>
          <w:rFonts w:hint="eastAsia"/>
          <w:lang w:eastAsia="zh-CN"/>
        </w:rPr>
        <w:t>”</w:t>
      </w:r>
    </w:p>
    <w:p>
      <w:pPr>
        <w:pStyle w:val="12"/>
        <w:ind w:firstLine="640"/>
        <w:rPr>
          <w:lang w:val="en-US"/>
        </w:rPr>
      </w:pPr>
      <w:r>
        <w:rPr>
          <w:lang w:val="en-US"/>
        </w:rPr>
        <w:t>六、将</w:t>
      </w:r>
      <w:r>
        <w:rPr>
          <w:rFonts w:hint="eastAsia"/>
          <w:lang w:val="en-US" w:eastAsia="zh-CN"/>
        </w:rPr>
        <w:t>原</w:t>
      </w:r>
      <w:r>
        <w:rPr>
          <w:lang w:val="en-US"/>
        </w:rPr>
        <w:t>第四十</w:t>
      </w:r>
      <w:r>
        <w:rPr>
          <w:rFonts w:hint="eastAsia"/>
          <w:lang w:val="en-US" w:eastAsia="zh-CN"/>
        </w:rPr>
        <w:t>五</w:t>
      </w:r>
      <w:r>
        <w:rPr>
          <w:lang w:val="en-US"/>
        </w:rPr>
        <w:t>条修订为：</w:t>
      </w:r>
    </w:p>
    <w:p>
      <w:pPr>
        <w:pStyle w:val="12"/>
        <w:ind w:firstLine="640"/>
        <w:rPr>
          <w:b/>
        </w:rPr>
      </w:pPr>
      <w:r>
        <w:rPr>
          <w:rFonts w:hint="eastAsia"/>
          <w:lang w:eastAsia="zh-CN"/>
        </w:rPr>
        <w:t>“</w:t>
      </w:r>
      <w:r>
        <w:t>花生期货车（船）板交割委托交易所办理结算的，应当在交割服务机构交割。其中，货物到达接受交割预报的交割服务机构的，自货物全部到达之日起2个工作日内，交割预报定金予以返还；部分到达的，自货物到达之日起</w:t>
      </w:r>
      <w:r>
        <w:rPr>
          <w:lang w:val="en-US"/>
        </w:rPr>
        <w:t>2个工作日内，</w:t>
      </w:r>
      <w:r>
        <w:t>按实际到达量返还；未到达的，不予返还。不委托交易所结算的，交割预报定金自双方签订《车（船）板交割协议书》之日起2个工作日内予以返还。</w:t>
      </w:r>
      <w:r>
        <w:rPr>
          <w:rFonts w:hint="eastAsia"/>
          <w:lang w:eastAsia="zh-CN"/>
        </w:rPr>
        <w:t>”</w:t>
      </w:r>
    </w:p>
    <w:p>
      <w:pPr>
        <w:pStyle w:val="12"/>
        <w:ind w:firstLine="640"/>
        <w:rPr>
          <w:lang w:val="en-US"/>
        </w:rPr>
      </w:pPr>
      <w:r>
        <w:rPr>
          <w:lang w:val="en-US"/>
        </w:rPr>
        <w:t>七、将</w:t>
      </w:r>
      <w:r>
        <w:rPr>
          <w:rFonts w:hint="eastAsia"/>
          <w:lang w:val="en-US" w:eastAsia="zh-CN"/>
        </w:rPr>
        <w:t>原</w:t>
      </w:r>
      <w:r>
        <w:rPr>
          <w:lang w:val="en-US"/>
        </w:rPr>
        <w:t>第四十</w:t>
      </w:r>
      <w:r>
        <w:rPr>
          <w:rFonts w:hint="eastAsia"/>
          <w:lang w:val="en-US" w:eastAsia="zh-CN"/>
        </w:rPr>
        <w:t>六</w:t>
      </w:r>
      <w:r>
        <w:rPr>
          <w:lang w:val="en-US"/>
        </w:rPr>
        <w:t>条修订为：</w:t>
      </w:r>
    </w:p>
    <w:p>
      <w:pPr>
        <w:pStyle w:val="12"/>
        <w:ind w:firstLine="640"/>
      </w:pPr>
      <w:r>
        <w:rPr>
          <w:rFonts w:hint="eastAsia"/>
          <w:lang w:eastAsia="zh-CN"/>
        </w:rPr>
        <w:t>“</w:t>
      </w:r>
      <w:r>
        <w:t>花生买卖双方应当在《车（船）板交割协议书》签订之日起（不含该日）3个日历日内与车（船）板交割服务机构签订《花生车（船）板货物交收三方协议书》，并按照协议书中约定时间进行货物交收。卖方未在约定时间前将货物运达交割服务机构或者买方未按时到场监收的，视为未按规定时间交收货物，新的交收时间由交割服务机构根据自身服务能力重新确定并通知买卖双方。当日交收量超过交割服务机构服务能力的，交割服务机构可以延后交收时间，并通知买卖双方。</w:t>
      </w:r>
      <w:r>
        <w:rPr>
          <w:rFonts w:hint="eastAsia"/>
          <w:lang w:eastAsia="zh-CN"/>
        </w:rPr>
        <w:t>”</w:t>
      </w:r>
    </w:p>
    <w:p>
      <w:pPr>
        <w:pStyle w:val="12"/>
        <w:ind w:firstLine="640"/>
        <w:rPr>
          <w:lang w:val="en-US"/>
        </w:rPr>
      </w:pPr>
      <w:r>
        <w:rPr>
          <w:lang w:val="en-US"/>
        </w:rPr>
        <w:t>八、将</w:t>
      </w:r>
      <w:r>
        <w:rPr>
          <w:rFonts w:hint="eastAsia"/>
          <w:lang w:val="en-US" w:eastAsia="zh-CN"/>
        </w:rPr>
        <w:t>原</w:t>
      </w:r>
      <w:r>
        <w:rPr>
          <w:lang w:val="en-US"/>
        </w:rPr>
        <w:t>第四十</w:t>
      </w:r>
      <w:r>
        <w:rPr>
          <w:rFonts w:hint="eastAsia"/>
          <w:lang w:val="en-US" w:eastAsia="zh-CN"/>
        </w:rPr>
        <w:t>九</w:t>
      </w:r>
      <w:r>
        <w:rPr>
          <w:lang w:val="en-US"/>
        </w:rPr>
        <w:t>条修订为：</w:t>
      </w:r>
    </w:p>
    <w:p>
      <w:pPr>
        <w:pStyle w:val="12"/>
        <w:ind w:firstLine="640"/>
      </w:pPr>
      <w:r>
        <w:rPr>
          <w:rFonts w:hint="eastAsia"/>
          <w:lang w:eastAsia="zh-CN"/>
        </w:rPr>
        <w:t>“</w:t>
      </w:r>
      <w:r>
        <w:t>复检前，花生未发运货物质量达不到交割标准且卖方无异议的，卖方应当及时更换货物。无法更换货物的，买卖双方可以协商处理；协商不一致的，按照《郑州商品交易所期货交割管理办法》有关交割违约的规定处理。</w:t>
      </w:r>
      <w:r>
        <w:rPr>
          <w:rFonts w:hint="eastAsia"/>
          <w:lang w:eastAsia="zh-CN"/>
        </w:rPr>
        <w:t>”</w:t>
      </w:r>
    </w:p>
    <w:p>
      <w:pPr>
        <w:pStyle w:val="12"/>
        <w:ind w:firstLine="640"/>
        <w:rPr>
          <w:lang w:val="en-US"/>
        </w:rPr>
      </w:pPr>
      <w:r>
        <w:rPr>
          <w:lang w:val="en-US"/>
        </w:rPr>
        <w:t>九、将</w:t>
      </w:r>
      <w:r>
        <w:rPr>
          <w:rFonts w:hint="eastAsia"/>
          <w:lang w:val="en-US" w:eastAsia="zh-CN"/>
        </w:rPr>
        <w:t>原</w:t>
      </w:r>
      <w:r>
        <w:rPr>
          <w:lang w:val="en-US"/>
        </w:rPr>
        <w:t>第</w:t>
      </w:r>
      <w:r>
        <w:rPr>
          <w:rFonts w:hint="eastAsia"/>
          <w:lang w:val="en-US" w:eastAsia="zh-CN"/>
        </w:rPr>
        <w:t>五十</w:t>
      </w:r>
      <w:r>
        <w:rPr>
          <w:lang w:val="en-US"/>
        </w:rPr>
        <w:t>条第二款后增加一款：</w:t>
      </w:r>
    </w:p>
    <w:p>
      <w:pPr>
        <w:pStyle w:val="12"/>
        <w:ind w:firstLine="640"/>
      </w:pPr>
      <w:r>
        <w:rPr>
          <w:rFonts w:hint="eastAsia"/>
          <w:lang w:eastAsia="zh-CN"/>
        </w:rPr>
        <w:t>“</w:t>
      </w:r>
      <w:r>
        <w:t>复检结果不符合交割质量标准的，买卖双方可以协商处理，协商不一致的，按照《郑州商品交易所期货交割管理办法》有关交割违约的规定处理。</w:t>
      </w:r>
      <w:r>
        <w:rPr>
          <w:rFonts w:hint="eastAsia"/>
          <w:lang w:eastAsia="zh-CN"/>
        </w:rPr>
        <w:t>”</w:t>
      </w:r>
    </w:p>
    <w:p>
      <w:pPr>
        <w:pStyle w:val="12"/>
        <w:ind w:firstLine="640"/>
        <w:rPr>
          <w:lang w:val="en-US"/>
        </w:rPr>
      </w:pPr>
      <w:r>
        <w:rPr>
          <w:lang w:val="en-US"/>
        </w:rPr>
        <w:t>十、将</w:t>
      </w:r>
      <w:r>
        <w:rPr>
          <w:rFonts w:hint="eastAsia"/>
          <w:lang w:val="en-US" w:eastAsia="zh-CN"/>
        </w:rPr>
        <w:t>原</w:t>
      </w:r>
      <w:r>
        <w:rPr>
          <w:lang w:val="en-US"/>
        </w:rPr>
        <w:t>第五十</w:t>
      </w:r>
      <w:r>
        <w:rPr>
          <w:rFonts w:hint="eastAsia"/>
          <w:lang w:val="en-US" w:eastAsia="zh-CN"/>
        </w:rPr>
        <w:t>一</w:t>
      </w:r>
      <w:r>
        <w:rPr>
          <w:lang w:val="en-US"/>
        </w:rPr>
        <w:t>条第二款修订为：</w:t>
      </w:r>
    </w:p>
    <w:p>
      <w:pPr>
        <w:pStyle w:val="12"/>
        <w:ind w:firstLine="640"/>
        <w:rPr>
          <w:rFonts w:hint="eastAsia" w:eastAsia="仿宋"/>
          <w:lang w:eastAsia="zh-CN"/>
        </w:rPr>
      </w:pPr>
      <w:r>
        <w:rPr>
          <w:rFonts w:hint="eastAsia"/>
          <w:lang w:eastAsia="zh-CN"/>
        </w:rPr>
        <w:t>“</w:t>
      </w:r>
      <w:r>
        <w:t>货物发运完毕后，根据每天双方签字确认的交接过磅码单，经核准累计后确认货物重量。买卖双方签署《重量验收确认单》，作为交割货物重量的判定依据。卖方客户应足量交割。不能足量交割的，卖方应当按照花生期货最近交割月最高交割结算价核算短少货物价款，赔偿买方；双方协商一致的除外。</w:t>
      </w:r>
      <w:r>
        <w:rPr>
          <w:rFonts w:hint="eastAsia"/>
          <w:lang w:eastAsia="zh-CN"/>
        </w:rPr>
        <w:t>”</w:t>
      </w:r>
    </w:p>
    <w:p>
      <w:pPr>
        <w:widowControl/>
        <w:jc w:val="center"/>
        <w:rPr>
          <w:rFonts w:eastAsia="方正小标宋简体"/>
          <w:sz w:val="44"/>
          <w:szCs w:val="32"/>
        </w:rPr>
      </w:pPr>
      <w:r>
        <w:br w:type="page"/>
      </w:r>
      <w:r>
        <w:rPr>
          <w:rFonts w:eastAsia="方正小标宋简体"/>
          <w:sz w:val="44"/>
          <w:szCs w:val="32"/>
        </w:rPr>
        <w:t>《郑州商品交易所花生仁期货业务细则》修订条款对照表</w:t>
      </w:r>
    </w:p>
    <w:p>
      <w:pPr>
        <w:widowControl/>
        <w:jc w:val="center"/>
        <w:rPr>
          <w:rFonts w:eastAsia="楷体"/>
          <w:sz w:val="28"/>
          <w:szCs w:val="28"/>
        </w:rPr>
      </w:pPr>
      <w:r>
        <w:rPr>
          <w:rFonts w:eastAsia="楷体"/>
          <w:sz w:val="32"/>
          <w:szCs w:val="32"/>
        </w:rPr>
        <w:t>（删除线部分为删除，下划线加粗部分为</w:t>
      </w:r>
      <w:r>
        <w:rPr>
          <w:rFonts w:hint="eastAsia" w:eastAsia="楷体"/>
          <w:sz w:val="32"/>
          <w:szCs w:val="32"/>
          <w:lang w:eastAsia="zh-CN"/>
        </w:rPr>
        <w:t>修改</w:t>
      </w:r>
      <w:r>
        <w:rPr>
          <w:rFonts w:eastAsia="楷体"/>
          <w:sz w:val="32"/>
          <w:szCs w:val="32"/>
        </w:rPr>
        <w:t>增加</w:t>
      </w:r>
      <w:r>
        <w:rPr>
          <w:rFonts w:hint="eastAsia" w:eastAsia="楷体"/>
          <w:sz w:val="32"/>
          <w:szCs w:val="32"/>
          <w:lang w:eastAsia="zh-CN"/>
        </w:rPr>
        <w:t>内容</w:t>
      </w:r>
      <w:r>
        <w:rPr>
          <w:rFonts w:eastAsia="楷体"/>
          <w:sz w:val="32"/>
          <w:szCs w:val="32"/>
        </w:rPr>
        <w:t>）</w:t>
      </w:r>
    </w:p>
    <w:p>
      <w:pPr>
        <w:widowControl/>
        <w:jc w:val="left"/>
        <w:rPr>
          <w:rFonts w:eastAsia="黑体"/>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4"/>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134" w:type="dxa"/>
            <w:noWrap w:val="0"/>
            <w:vAlign w:val="top"/>
          </w:tcPr>
          <w:p>
            <w:pPr>
              <w:widowControl/>
              <w:jc w:val="center"/>
              <w:rPr>
                <w:rFonts w:eastAsia="仿宋"/>
                <w:b/>
                <w:bCs/>
                <w:sz w:val="24"/>
              </w:rPr>
            </w:pPr>
            <w:r>
              <w:rPr>
                <w:rFonts w:eastAsia="仿宋"/>
                <w:b/>
                <w:bCs/>
                <w:sz w:val="24"/>
              </w:rPr>
              <w:t>现行条文</w:t>
            </w:r>
          </w:p>
        </w:tc>
        <w:tc>
          <w:tcPr>
            <w:tcW w:w="4200" w:type="dxa"/>
            <w:noWrap w:val="0"/>
            <w:vAlign w:val="top"/>
          </w:tcPr>
          <w:p>
            <w:pPr>
              <w:widowControl/>
              <w:jc w:val="center"/>
              <w:rPr>
                <w:rFonts w:eastAsia="仿宋"/>
                <w:b/>
                <w:bCs/>
                <w:sz w:val="24"/>
              </w:rPr>
            </w:pPr>
            <w:r>
              <w:rPr>
                <w:rFonts w:eastAsia="仿宋"/>
                <w:b/>
                <w:bCs/>
                <w:sz w:val="24"/>
              </w:rPr>
              <w:t>修订后条文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134" w:type="dxa"/>
            <w:noWrap w:val="0"/>
            <w:vAlign w:val="top"/>
          </w:tcPr>
          <w:p>
            <w:pPr>
              <w:widowControl/>
              <w:ind w:firstLine="481" w:firstLineChars="200"/>
              <w:jc w:val="both"/>
              <w:rPr>
                <w:rFonts w:eastAsia="仿宋"/>
                <w:sz w:val="24"/>
              </w:rPr>
            </w:pPr>
            <w:r>
              <w:rPr>
                <w:rFonts w:eastAsia="仿宋"/>
                <w:b/>
                <w:sz w:val="24"/>
              </w:rPr>
              <w:t>第</w:t>
            </w:r>
            <w:r>
              <w:rPr>
                <w:rFonts w:hint="eastAsia" w:eastAsia="仿宋"/>
                <w:b/>
                <w:sz w:val="24"/>
                <w:lang w:eastAsia="zh-CN"/>
              </w:rPr>
              <w:t>六</w:t>
            </w:r>
            <w:r>
              <w:rPr>
                <w:rFonts w:eastAsia="仿宋"/>
                <w:b/>
                <w:sz w:val="24"/>
              </w:rPr>
              <w:t>条</w:t>
            </w:r>
            <w:r>
              <w:rPr>
                <w:rFonts w:hint="eastAsia" w:eastAsia="仿宋"/>
                <w:b/>
                <w:sz w:val="24"/>
                <w:lang w:val="en-US" w:eastAsia="zh-CN"/>
              </w:rPr>
              <w:t xml:space="preserve"> </w:t>
            </w:r>
            <w:r>
              <w:rPr>
                <w:rFonts w:hint="eastAsia" w:eastAsia="仿宋"/>
                <w:color w:val="333333"/>
                <w:kern w:val="0"/>
                <w:sz w:val="24"/>
                <w:szCs w:val="24"/>
              </w:rPr>
              <w:t>花生期货合约交割月份为1、3、4、10、11、12月。</w:t>
            </w:r>
          </w:p>
        </w:tc>
        <w:tc>
          <w:tcPr>
            <w:tcW w:w="4200" w:type="dxa"/>
            <w:noWrap w:val="0"/>
            <w:vAlign w:val="top"/>
          </w:tcPr>
          <w:p>
            <w:pPr>
              <w:widowControl/>
              <w:ind w:firstLine="481" w:firstLineChars="200"/>
              <w:jc w:val="both"/>
              <w:rPr>
                <w:rFonts w:eastAsia="仿宋"/>
                <w:sz w:val="24"/>
              </w:rPr>
            </w:pPr>
            <w:r>
              <w:rPr>
                <w:rFonts w:eastAsia="仿宋"/>
                <w:b/>
                <w:sz w:val="24"/>
              </w:rPr>
              <w:t>第</w:t>
            </w:r>
            <w:r>
              <w:rPr>
                <w:rFonts w:hint="eastAsia" w:eastAsia="仿宋"/>
                <w:b/>
                <w:sz w:val="24"/>
                <w:lang w:eastAsia="zh-CN"/>
              </w:rPr>
              <w:t>六</w:t>
            </w:r>
            <w:r>
              <w:rPr>
                <w:rFonts w:eastAsia="仿宋"/>
                <w:b/>
                <w:sz w:val="24"/>
              </w:rPr>
              <w:t>条</w:t>
            </w:r>
            <w:r>
              <w:rPr>
                <w:rFonts w:hint="eastAsia" w:eastAsia="仿宋"/>
                <w:b/>
                <w:sz w:val="24"/>
                <w:lang w:val="en-US" w:eastAsia="zh-CN"/>
              </w:rPr>
              <w:t xml:space="preserve"> </w:t>
            </w:r>
            <w:r>
              <w:rPr>
                <w:rFonts w:hint="eastAsia" w:eastAsia="仿宋"/>
                <w:color w:val="333333"/>
                <w:kern w:val="0"/>
                <w:sz w:val="24"/>
                <w:szCs w:val="24"/>
              </w:rPr>
              <w:t>花生期货合约交割月份为1、3、4、</w:t>
            </w:r>
            <w:r>
              <w:rPr>
                <w:rFonts w:eastAsia="仿宋"/>
                <w:b/>
                <w:color w:val="333333"/>
                <w:kern w:val="0"/>
                <w:sz w:val="24"/>
                <w:szCs w:val="24"/>
                <w:u w:val="single"/>
              </w:rPr>
              <w:t>5</w:t>
            </w:r>
            <w:r>
              <w:rPr>
                <w:rFonts w:hint="eastAsia" w:eastAsia="仿宋"/>
                <w:b/>
                <w:color w:val="333333"/>
                <w:kern w:val="0"/>
                <w:sz w:val="24"/>
                <w:szCs w:val="24"/>
                <w:u w:val="single"/>
                <w:lang w:eastAsia="zh-CN"/>
              </w:rPr>
              <w:t>、</w:t>
            </w:r>
            <w:r>
              <w:rPr>
                <w:rFonts w:hint="eastAsia" w:eastAsia="仿宋"/>
                <w:color w:val="333333"/>
                <w:kern w:val="0"/>
                <w:sz w:val="24"/>
                <w:szCs w:val="24"/>
              </w:rPr>
              <w:t>10、11、12月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134" w:type="dxa"/>
            <w:noWrap w:val="0"/>
            <w:vAlign w:val="top"/>
          </w:tcPr>
          <w:p>
            <w:pPr>
              <w:widowControl/>
              <w:adjustRightInd w:val="0"/>
              <w:ind w:firstLine="481" w:firstLineChars="200"/>
              <w:rPr>
                <w:rFonts w:eastAsia="仿宋"/>
                <w:color w:val="333333"/>
                <w:kern w:val="0"/>
                <w:sz w:val="24"/>
                <w:szCs w:val="24"/>
              </w:rPr>
            </w:pPr>
            <w:r>
              <w:rPr>
                <w:rFonts w:eastAsia="仿宋"/>
                <w:b/>
                <w:sz w:val="24"/>
              </w:rPr>
              <w:t>第十五条</w:t>
            </w:r>
            <w:r>
              <w:rPr>
                <w:rFonts w:hint="eastAsia" w:eastAsia="仿宋"/>
                <w:b/>
                <w:sz w:val="24"/>
                <w:lang w:val="en-US" w:eastAsia="zh-CN"/>
              </w:rPr>
              <w:t xml:space="preserve"> </w:t>
            </w:r>
            <w:r>
              <w:rPr>
                <w:rFonts w:eastAsia="仿宋"/>
                <w:color w:val="333333"/>
                <w:kern w:val="0"/>
                <w:sz w:val="24"/>
                <w:szCs w:val="24"/>
              </w:rPr>
              <w:t>每年1月、4月第15个交易日之前（含该日）注册的花生期货标准仓单，应当在当年1月、4月第15个交易日之前（含该日）全部注销。</w:t>
            </w:r>
          </w:p>
          <w:p>
            <w:pPr>
              <w:widowControl/>
              <w:ind w:firstLine="480" w:firstLineChars="200"/>
              <w:rPr>
                <w:rFonts w:eastAsia="仿宋"/>
                <w:sz w:val="24"/>
              </w:rPr>
            </w:pPr>
            <w:r>
              <w:rPr>
                <w:rFonts w:eastAsia="仿宋"/>
                <w:color w:val="333333"/>
                <w:kern w:val="0"/>
                <w:sz w:val="24"/>
                <w:szCs w:val="24"/>
              </w:rPr>
              <w:t>每年4月第16个交易日（含该日）至8月最后一个交易日（含该日）不受理花生期货标准仓单注册申请。</w:t>
            </w:r>
          </w:p>
        </w:tc>
        <w:tc>
          <w:tcPr>
            <w:tcW w:w="4200" w:type="dxa"/>
            <w:noWrap w:val="0"/>
            <w:vAlign w:val="top"/>
          </w:tcPr>
          <w:p>
            <w:pPr>
              <w:widowControl/>
              <w:adjustRightInd w:val="0"/>
              <w:ind w:firstLine="481" w:firstLineChars="200"/>
              <w:rPr>
                <w:rFonts w:eastAsia="仿宋"/>
                <w:color w:val="333333"/>
                <w:kern w:val="0"/>
                <w:sz w:val="24"/>
                <w:szCs w:val="24"/>
              </w:rPr>
            </w:pPr>
            <w:r>
              <w:rPr>
                <w:rFonts w:eastAsia="仿宋"/>
                <w:b/>
                <w:sz w:val="24"/>
              </w:rPr>
              <w:t>第十五条</w:t>
            </w:r>
            <w:r>
              <w:rPr>
                <w:rFonts w:hint="eastAsia" w:eastAsia="仿宋"/>
                <w:b/>
                <w:sz w:val="24"/>
                <w:lang w:val="en-US" w:eastAsia="zh-CN"/>
              </w:rPr>
              <w:t xml:space="preserve"> </w:t>
            </w:r>
            <w:r>
              <w:rPr>
                <w:rFonts w:eastAsia="仿宋"/>
                <w:color w:val="333333"/>
                <w:kern w:val="0"/>
                <w:sz w:val="24"/>
                <w:szCs w:val="24"/>
              </w:rPr>
              <w:t>每年1月、</w:t>
            </w:r>
            <w:r>
              <w:rPr>
                <w:rFonts w:eastAsia="仿宋"/>
                <w:strike w:val="0"/>
                <w:dstrike/>
                <w:color w:val="333333"/>
                <w:kern w:val="0"/>
                <w:sz w:val="24"/>
                <w:szCs w:val="24"/>
              </w:rPr>
              <w:t>4</w:t>
            </w:r>
            <w:r>
              <w:rPr>
                <w:rFonts w:eastAsia="仿宋"/>
                <w:b/>
                <w:color w:val="333333"/>
                <w:kern w:val="0"/>
                <w:sz w:val="24"/>
                <w:szCs w:val="24"/>
                <w:u w:val="single"/>
              </w:rPr>
              <w:t>、5</w:t>
            </w:r>
            <w:r>
              <w:rPr>
                <w:rFonts w:eastAsia="仿宋"/>
                <w:color w:val="333333"/>
                <w:kern w:val="0"/>
                <w:sz w:val="24"/>
                <w:szCs w:val="24"/>
              </w:rPr>
              <w:t>月第15个交易日之前（含该日）注册的花生期货标准仓单，应当在当年1月、</w:t>
            </w:r>
            <w:r>
              <w:rPr>
                <w:rFonts w:eastAsia="仿宋"/>
                <w:dstrike/>
                <w:color w:val="333333"/>
                <w:kern w:val="0"/>
                <w:sz w:val="24"/>
                <w:szCs w:val="24"/>
              </w:rPr>
              <w:t>4</w:t>
            </w:r>
            <w:r>
              <w:rPr>
                <w:rFonts w:eastAsia="仿宋"/>
                <w:b/>
                <w:color w:val="333333"/>
                <w:kern w:val="0"/>
                <w:sz w:val="24"/>
                <w:szCs w:val="24"/>
                <w:u w:val="single"/>
              </w:rPr>
              <w:t>、5</w:t>
            </w:r>
            <w:r>
              <w:rPr>
                <w:rFonts w:eastAsia="仿宋"/>
                <w:color w:val="333333"/>
                <w:kern w:val="0"/>
                <w:sz w:val="24"/>
                <w:szCs w:val="24"/>
              </w:rPr>
              <w:t>月第15个交易日之前（含该日）全部注销。</w:t>
            </w:r>
          </w:p>
          <w:p>
            <w:pPr>
              <w:widowControl/>
              <w:ind w:firstLine="480" w:firstLineChars="200"/>
              <w:rPr>
                <w:rFonts w:eastAsia="仿宋"/>
                <w:sz w:val="24"/>
              </w:rPr>
            </w:pPr>
            <w:r>
              <w:rPr>
                <w:rFonts w:eastAsia="仿宋"/>
                <w:color w:val="333333"/>
                <w:kern w:val="0"/>
                <w:sz w:val="24"/>
                <w:szCs w:val="24"/>
              </w:rPr>
              <w:t>每年</w:t>
            </w:r>
            <w:r>
              <w:rPr>
                <w:rFonts w:eastAsia="仿宋"/>
                <w:strike w:val="0"/>
                <w:dstrike/>
                <w:color w:val="333333"/>
                <w:kern w:val="0"/>
                <w:sz w:val="24"/>
                <w:szCs w:val="24"/>
              </w:rPr>
              <w:t>4</w:t>
            </w:r>
            <w:r>
              <w:rPr>
                <w:rFonts w:eastAsia="仿宋"/>
                <w:b/>
                <w:color w:val="333333"/>
                <w:kern w:val="0"/>
                <w:sz w:val="24"/>
                <w:szCs w:val="24"/>
                <w:u w:val="single"/>
              </w:rPr>
              <w:t>、5</w:t>
            </w:r>
            <w:r>
              <w:rPr>
                <w:rFonts w:eastAsia="仿宋"/>
                <w:color w:val="333333"/>
                <w:kern w:val="0"/>
                <w:sz w:val="24"/>
                <w:szCs w:val="24"/>
              </w:rPr>
              <w:t>月第16个交易日（含该日）至8月最后一个交易日（含该日）不受理花生期货标准仓单注册申请。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134" w:type="dxa"/>
            <w:noWrap w:val="0"/>
            <w:vAlign w:val="top"/>
          </w:tcPr>
          <w:p>
            <w:pPr>
              <w:widowControl/>
              <w:adjustRightInd w:val="0"/>
              <w:ind w:firstLine="481" w:firstLineChars="200"/>
              <w:rPr>
                <w:rFonts w:eastAsia="仿宋"/>
                <w:b/>
                <w:sz w:val="24"/>
              </w:rPr>
            </w:pPr>
            <w:r>
              <w:rPr>
                <w:rFonts w:eastAsia="仿宋"/>
                <w:b/>
                <w:sz w:val="24"/>
              </w:rPr>
              <w:t>第四十条</w:t>
            </w:r>
          </w:p>
          <w:p>
            <w:pPr>
              <w:widowControl/>
              <w:ind w:firstLine="480" w:firstLineChars="200"/>
              <w:jc w:val="both"/>
              <w:rPr>
                <w:rFonts w:eastAsia="仿宋"/>
                <w:sz w:val="24"/>
              </w:rPr>
            </w:pPr>
            <w:r>
              <w:rPr>
                <w:rFonts w:eastAsia="仿宋"/>
                <w:sz w:val="24"/>
              </w:rPr>
              <w:t>……</w:t>
            </w:r>
          </w:p>
          <w:p>
            <w:pPr>
              <w:widowControl/>
              <w:ind w:firstLine="480" w:firstLineChars="200"/>
              <w:rPr>
                <w:rFonts w:eastAsia="仿宋"/>
                <w:color w:val="333333"/>
                <w:kern w:val="0"/>
                <w:sz w:val="24"/>
                <w:szCs w:val="24"/>
              </w:rPr>
            </w:pPr>
            <w:r>
              <w:rPr>
                <w:rFonts w:eastAsia="仿宋"/>
                <w:color w:val="333333"/>
                <w:kern w:val="0"/>
                <w:sz w:val="24"/>
                <w:szCs w:val="24"/>
              </w:rPr>
              <w:t>交割服务机构自交割月前一月第13个交易日开始接受交割预报。交割服务机构应当在接到会员《花生车（船）板交割预报单》之日起（含该日）2个工作日内，通过会员服务系统回复会员能够接收的货物数量。会员应当在接到交割服务机构同意接收的回复之日起（含该日）2个工作日之内，向交割服务机构交纳30元/吨的交割预报定金。交割服务机构应当在收到交割预报定金之日起（含该日）的第1个工作日，向卖方会员开具《花生车（船）板接收通知单》，视为交割预报完成。会员应当及时将交割预报结果通知客户。</w:t>
            </w:r>
          </w:p>
          <w:p>
            <w:pPr>
              <w:widowControl/>
              <w:ind w:firstLine="480" w:firstLineChars="200"/>
              <w:jc w:val="both"/>
              <w:rPr>
                <w:rFonts w:eastAsia="仿宋"/>
                <w:color w:val="333333"/>
                <w:kern w:val="0"/>
                <w:sz w:val="24"/>
                <w:szCs w:val="24"/>
              </w:rPr>
            </w:pPr>
            <w:r>
              <w:rPr>
                <w:rFonts w:eastAsia="仿宋"/>
                <w:sz w:val="24"/>
              </w:rPr>
              <w:t>……</w:t>
            </w:r>
          </w:p>
        </w:tc>
        <w:tc>
          <w:tcPr>
            <w:tcW w:w="4200" w:type="dxa"/>
            <w:noWrap w:val="0"/>
            <w:vAlign w:val="top"/>
          </w:tcPr>
          <w:p>
            <w:pPr>
              <w:widowControl/>
              <w:adjustRightInd w:val="0"/>
              <w:ind w:firstLine="481" w:firstLineChars="200"/>
              <w:rPr>
                <w:rFonts w:eastAsia="仿宋"/>
                <w:b/>
                <w:sz w:val="24"/>
              </w:rPr>
            </w:pPr>
            <w:r>
              <w:rPr>
                <w:rFonts w:eastAsia="仿宋"/>
                <w:b/>
                <w:sz w:val="24"/>
              </w:rPr>
              <w:t>第四十条</w:t>
            </w:r>
          </w:p>
          <w:p>
            <w:pPr>
              <w:widowControl/>
              <w:ind w:firstLine="480" w:firstLineChars="200"/>
              <w:jc w:val="both"/>
              <w:rPr>
                <w:rFonts w:eastAsia="仿宋"/>
                <w:sz w:val="24"/>
              </w:rPr>
            </w:pPr>
            <w:r>
              <w:rPr>
                <w:rFonts w:eastAsia="仿宋"/>
                <w:sz w:val="24"/>
              </w:rPr>
              <w:t>……</w:t>
            </w:r>
          </w:p>
          <w:p>
            <w:pPr>
              <w:widowControl/>
              <w:ind w:firstLine="480" w:firstLineChars="200"/>
              <w:rPr>
                <w:rFonts w:eastAsia="仿宋"/>
                <w:color w:val="333333"/>
                <w:kern w:val="0"/>
                <w:sz w:val="24"/>
                <w:szCs w:val="24"/>
              </w:rPr>
            </w:pPr>
            <w:r>
              <w:rPr>
                <w:rFonts w:eastAsia="仿宋"/>
                <w:color w:val="333333"/>
                <w:kern w:val="0"/>
                <w:sz w:val="24"/>
                <w:szCs w:val="24"/>
              </w:rPr>
              <w:t>交割服务机构自交割月前一月第13个交易日开始接受交割预报。交割服务机构应当在接到会员《花生车（船）板交割预报单》之日起（含该日）2个工作日内，通过会员服务系统回复会员能够接收的货物数量。会员应当在接到交割服务机构同意接收的回复之日起（含该日）2个工作日之内，</w:t>
            </w:r>
            <w:r>
              <w:rPr>
                <w:rFonts w:eastAsia="仿宋"/>
                <w:b/>
                <w:color w:val="333333"/>
                <w:kern w:val="0"/>
                <w:sz w:val="24"/>
                <w:szCs w:val="24"/>
                <w:u w:val="single"/>
              </w:rPr>
              <w:t>代客户或</w:t>
            </w:r>
            <w:r>
              <w:rPr>
                <w:rFonts w:hint="eastAsia" w:eastAsia="仿宋"/>
                <w:b/>
                <w:color w:val="333333"/>
                <w:kern w:val="0"/>
                <w:sz w:val="24"/>
                <w:szCs w:val="24"/>
                <w:u w:val="single"/>
                <w:lang w:eastAsia="zh-CN"/>
              </w:rPr>
              <w:t>者</w:t>
            </w:r>
            <w:r>
              <w:rPr>
                <w:rFonts w:eastAsia="仿宋"/>
                <w:b/>
                <w:color w:val="333333"/>
                <w:kern w:val="0"/>
                <w:sz w:val="24"/>
                <w:szCs w:val="24"/>
                <w:u w:val="single"/>
              </w:rPr>
              <w:t>由客户直接</w:t>
            </w:r>
            <w:r>
              <w:rPr>
                <w:rFonts w:eastAsia="仿宋"/>
                <w:color w:val="333333"/>
                <w:kern w:val="0"/>
                <w:sz w:val="24"/>
                <w:szCs w:val="24"/>
              </w:rPr>
              <w:t>向交割服务机构交纳30元/吨的交割预报定金。交割服务机构应当在收到交割预报定金之日起（含该日）的第1个工作日，向卖方会员开具《花生车（船）板接收通知单》，视为交割预报完成。会员应当及时将交割预报结果通知客户。</w:t>
            </w:r>
          </w:p>
          <w:p>
            <w:pPr>
              <w:widowControl/>
              <w:ind w:firstLine="480" w:firstLineChars="200"/>
              <w:jc w:val="both"/>
              <w:rPr>
                <w:rFonts w:eastAsia="仿宋"/>
                <w:sz w:val="24"/>
              </w:rPr>
            </w:pPr>
            <w:r>
              <w:rPr>
                <w:rFonts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134" w:type="dxa"/>
            <w:noWrap w:val="0"/>
            <w:vAlign w:val="top"/>
          </w:tcPr>
          <w:p>
            <w:pPr>
              <w:widowControl/>
              <w:adjustRightInd w:val="0"/>
              <w:ind w:firstLine="481" w:firstLineChars="200"/>
              <w:rPr>
                <w:rFonts w:eastAsia="仿宋"/>
                <w:dstrike/>
                <w:sz w:val="24"/>
              </w:rPr>
            </w:pPr>
            <w:r>
              <w:rPr>
                <w:rFonts w:eastAsia="仿宋"/>
                <w:b/>
                <w:sz w:val="24"/>
              </w:rPr>
              <w:t>第四十三条</w:t>
            </w:r>
            <w:r>
              <w:rPr>
                <w:rFonts w:hint="eastAsia" w:eastAsia="仿宋"/>
                <w:b/>
                <w:sz w:val="24"/>
                <w:lang w:val="en-US" w:eastAsia="zh-CN"/>
              </w:rPr>
              <w:t xml:space="preserve"> </w:t>
            </w:r>
            <w:r>
              <w:rPr>
                <w:rFonts w:eastAsia="仿宋"/>
                <w:dstrike w:val="0"/>
                <w:color w:val="333333"/>
                <w:kern w:val="0"/>
                <w:sz w:val="24"/>
                <w:szCs w:val="24"/>
              </w:rPr>
              <w:t>花生期货车（船）板交割委托交易所办理结算，且货物到达接受交割预报的交割服务机构的，自货物全部到达之日起2个工作日内，交割预报定金予以返还；部分到达的，按实际到达量返还；未到达的，不予返还。不委托交易所办理结算的，自双方签订《车（船）板交割协议书》之日起2个工作日内，交割预报定金予以返还。</w:t>
            </w:r>
          </w:p>
        </w:tc>
        <w:tc>
          <w:tcPr>
            <w:tcW w:w="4200" w:type="dxa"/>
            <w:noWrap w:val="0"/>
            <w:vAlign w:val="top"/>
          </w:tcPr>
          <w:p>
            <w:pPr>
              <w:widowControl/>
              <w:adjustRightInd w:val="0"/>
              <w:ind w:firstLine="481" w:firstLineChars="200"/>
              <w:rPr>
                <w:rFonts w:eastAsia="仿宋"/>
                <w:sz w:val="24"/>
              </w:rPr>
            </w:pPr>
            <w:r>
              <w:rPr>
                <w:rFonts w:eastAsia="仿宋"/>
                <w:b/>
                <w:strike/>
                <w:dstrike w:val="0"/>
                <w:sz w:val="24"/>
                <w:u w:val="none"/>
              </w:rPr>
              <w:t>第四十三条</w:t>
            </w:r>
            <w:r>
              <w:rPr>
                <w:rFonts w:hint="eastAsia" w:eastAsia="仿宋"/>
                <w:b/>
                <w:strike/>
                <w:dstrike w:val="0"/>
                <w:sz w:val="24"/>
                <w:u w:val="none"/>
                <w:lang w:val="en-US" w:eastAsia="zh-CN"/>
              </w:rPr>
              <w:t xml:space="preserve"> </w:t>
            </w:r>
            <w:r>
              <w:rPr>
                <w:rFonts w:eastAsia="仿宋"/>
                <w:strike/>
                <w:dstrike w:val="0"/>
                <w:color w:val="333333"/>
                <w:kern w:val="0"/>
                <w:sz w:val="24"/>
                <w:szCs w:val="24"/>
              </w:rPr>
              <w:t>花生期货车（船）板交割委托交易所办理结算，且货物到达接受交割预报的交割服务机构的，自货物全部到达之日起2个工作日内，交割预报定金予以返还；部分到达的，按实际到达量返还；未到达的，不予返还。不委托交易所办理结算的，自双方签订《车（船）板交割协议书》之日起2个工作日内，交割预报定金予以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134" w:type="dxa"/>
            <w:noWrap w:val="0"/>
            <w:vAlign w:val="top"/>
          </w:tcPr>
          <w:p>
            <w:pPr>
              <w:widowControl/>
              <w:adjustRightInd w:val="0"/>
              <w:ind w:firstLine="481" w:firstLineChars="200"/>
              <w:rPr>
                <w:rFonts w:eastAsia="仿宋"/>
                <w:color w:val="333333"/>
                <w:kern w:val="0"/>
                <w:sz w:val="24"/>
                <w:szCs w:val="24"/>
              </w:rPr>
            </w:pPr>
            <w:r>
              <w:rPr>
                <w:rFonts w:eastAsia="仿宋"/>
                <w:b/>
                <w:sz w:val="24"/>
              </w:rPr>
              <w:t>第四十四条</w:t>
            </w:r>
            <w:r>
              <w:rPr>
                <w:rFonts w:hint="eastAsia" w:eastAsia="仿宋"/>
                <w:b/>
                <w:sz w:val="24"/>
                <w:lang w:val="en-US" w:eastAsia="zh-CN"/>
              </w:rPr>
              <w:t xml:space="preserve"> </w:t>
            </w:r>
            <w:r>
              <w:rPr>
                <w:rFonts w:eastAsia="仿宋"/>
                <w:color w:val="333333"/>
                <w:kern w:val="0"/>
                <w:sz w:val="24"/>
                <w:szCs w:val="24"/>
              </w:rPr>
              <w:t> 自第三交割日起（含该日）3个交易日内，花生买卖双方就车（船）板交割事宜进行协商，确定结算方式、交货地点、交货方式、交货时间等，签订《车（船）板交割协议书》。</w:t>
            </w:r>
          </w:p>
          <w:p>
            <w:pPr>
              <w:widowControl/>
              <w:ind w:firstLine="480" w:firstLineChars="200"/>
              <w:rPr>
                <w:color w:val="333333"/>
                <w:kern w:val="0"/>
                <w:sz w:val="24"/>
                <w:szCs w:val="24"/>
              </w:rPr>
            </w:pPr>
            <w:r>
              <w:rPr>
                <w:rFonts w:eastAsia="仿宋"/>
                <w:color w:val="333333"/>
                <w:kern w:val="0"/>
                <w:sz w:val="24"/>
                <w:szCs w:val="24"/>
              </w:rPr>
              <w:t>第三交割日起（含该日）第3个交易日下午1时30分前，买方应当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交割违约处理”的相关规定处理。</w:t>
            </w:r>
          </w:p>
        </w:tc>
        <w:tc>
          <w:tcPr>
            <w:tcW w:w="4200" w:type="dxa"/>
            <w:noWrap w:val="0"/>
            <w:vAlign w:val="top"/>
          </w:tcPr>
          <w:p>
            <w:pPr>
              <w:widowControl/>
              <w:adjustRightInd w:val="0"/>
              <w:ind w:firstLine="481" w:firstLineChars="200"/>
              <w:rPr>
                <w:rFonts w:eastAsia="仿宋"/>
                <w:strike/>
                <w:dstrike w:val="0"/>
                <w:color w:val="333333"/>
                <w:kern w:val="0"/>
                <w:sz w:val="24"/>
                <w:szCs w:val="24"/>
              </w:rPr>
            </w:pPr>
            <w:r>
              <w:rPr>
                <w:rFonts w:eastAsia="仿宋"/>
                <w:b/>
                <w:sz w:val="24"/>
              </w:rPr>
              <w:t>第四十</w:t>
            </w:r>
            <w:r>
              <w:rPr>
                <w:rFonts w:eastAsia="仿宋"/>
                <w:b/>
                <w:strike/>
                <w:dstrike w:val="0"/>
                <w:sz w:val="24"/>
              </w:rPr>
              <w:t>四</w:t>
            </w:r>
            <w:r>
              <w:rPr>
                <w:rFonts w:eastAsia="仿宋"/>
                <w:b/>
                <w:color w:val="333333"/>
                <w:kern w:val="0"/>
                <w:sz w:val="24"/>
                <w:szCs w:val="24"/>
                <w:u w:val="single"/>
              </w:rPr>
              <w:t>三</w:t>
            </w:r>
            <w:r>
              <w:rPr>
                <w:rFonts w:eastAsia="仿宋"/>
                <w:b/>
                <w:sz w:val="24"/>
              </w:rPr>
              <w:t>条</w:t>
            </w:r>
            <w:r>
              <w:rPr>
                <w:rFonts w:hint="eastAsia" w:eastAsia="仿宋"/>
                <w:b/>
                <w:sz w:val="24"/>
                <w:lang w:val="en-US" w:eastAsia="zh-CN"/>
              </w:rPr>
              <w:t xml:space="preserve"> </w:t>
            </w:r>
            <w:r>
              <w:rPr>
                <w:rFonts w:eastAsia="仿宋"/>
                <w:color w:val="333333"/>
                <w:kern w:val="0"/>
                <w:sz w:val="24"/>
                <w:szCs w:val="24"/>
              </w:rPr>
              <w:t>自第三交割日起（含该日）3个交易日内，花生买卖双方就车（船）板交割事宜进行协商</w:t>
            </w:r>
            <w:r>
              <w:rPr>
                <w:rFonts w:eastAsia="仿宋"/>
                <w:b/>
                <w:bCs/>
                <w:color w:val="333333"/>
                <w:kern w:val="0"/>
                <w:sz w:val="24"/>
                <w:szCs w:val="24"/>
                <w:u w:val="single"/>
              </w:rPr>
              <w:t>。</w:t>
            </w:r>
            <w:r>
              <w:rPr>
                <w:rFonts w:eastAsia="仿宋"/>
                <w:strike/>
                <w:dstrike w:val="0"/>
                <w:color w:val="333333"/>
                <w:kern w:val="0"/>
                <w:sz w:val="24"/>
                <w:szCs w:val="24"/>
              </w:rPr>
              <w:t>，确定结算方式、交货地点、交货方式、交货时间等，签订《车（船）板交割协议书》。</w:t>
            </w:r>
          </w:p>
          <w:p>
            <w:pPr>
              <w:widowControl/>
              <w:ind w:firstLine="480" w:firstLineChars="200"/>
              <w:rPr>
                <w:rFonts w:eastAsia="仿宋"/>
                <w:sz w:val="24"/>
              </w:rPr>
            </w:pPr>
            <w:r>
              <w:rPr>
                <w:rFonts w:eastAsia="仿宋"/>
                <w:color w:val="333333"/>
                <w:kern w:val="0"/>
                <w:sz w:val="24"/>
                <w:szCs w:val="24"/>
              </w:rPr>
              <w:t>第三交割日起（含该日）第3个交易日下午1时30分前，买方应当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w:t>
            </w:r>
            <w:r>
              <w:rPr>
                <w:rFonts w:eastAsia="仿宋"/>
                <w:b/>
                <w:bCs/>
                <w:color w:val="333333"/>
                <w:kern w:val="0"/>
                <w:sz w:val="24"/>
                <w:szCs w:val="24"/>
                <w:u w:val="single"/>
              </w:rPr>
              <w:t>有关</w:t>
            </w:r>
            <w:r>
              <w:rPr>
                <w:rFonts w:eastAsia="仿宋"/>
                <w:strike/>
                <w:dstrike w:val="0"/>
                <w:color w:val="333333"/>
                <w:kern w:val="0"/>
                <w:sz w:val="24"/>
                <w:szCs w:val="24"/>
              </w:rPr>
              <w:t>“</w:t>
            </w:r>
            <w:r>
              <w:rPr>
                <w:rFonts w:eastAsia="仿宋"/>
                <w:color w:val="333333"/>
                <w:kern w:val="0"/>
                <w:sz w:val="24"/>
                <w:szCs w:val="24"/>
              </w:rPr>
              <w:t>交割违约</w:t>
            </w:r>
            <w:r>
              <w:rPr>
                <w:rFonts w:eastAsia="仿宋"/>
                <w:strike/>
                <w:dstrike w:val="0"/>
                <w:color w:val="333333"/>
                <w:kern w:val="0"/>
                <w:sz w:val="24"/>
                <w:szCs w:val="24"/>
              </w:rPr>
              <w:t>处理”有关</w:t>
            </w:r>
            <w:r>
              <w:rPr>
                <w:rFonts w:eastAsia="仿宋"/>
                <w:b/>
                <w:bCs/>
                <w:color w:val="333333"/>
                <w:kern w:val="0"/>
                <w:sz w:val="24"/>
                <w:szCs w:val="24"/>
                <w:u w:val="single"/>
              </w:rPr>
              <w:t>的</w:t>
            </w:r>
            <w:r>
              <w:rPr>
                <w:rFonts w:eastAsia="仿宋"/>
                <w:color w:val="333333"/>
                <w:kern w:val="0"/>
                <w:sz w:val="24"/>
                <w:szCs w:val="24"/>
              </w:rPr>
              <w:t>规定处理。</w:t>
            </w:r>
            <w:r>
              <w:rPr>
                <w:rFonts w:eastAsia="仿宋"/>
                <w:b/>
                <w:color w:val="333333"/>
                <w:kern w:val="0"/>
                <w:sz w:val="24"/>
                <w:szCs w:val="24"/>
                <w:u w:val="single"/>
              </w:rPr>
              <w:t>花生买卖双方完成《车（船）板交货事项确认单》后，于当日签订《车（船）板交割协议书》，确定结算方式、交货地点等。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134" w:type="dxa"/>
            <w:noWrap w:val="0"/>
            <w:vAlign w:val="top"/>
          </w:tcPr>
          <w:p>
            <w:pPr>
              <w:widowControl/>
              <w:adjustRightInd w:val="0"/>
              <w:ind w:firstLine="481" w:firstLineChars="200"/>
              <w:rPr>
                <w:rFonts w:eastAsia="仿宋"/>
                <w:color w:val="333333"/>
                <w:kern w:val="0"/>
                <w:sz w:val="24"/>
                <w:szCs w:val="24"/>
              </w:rPr>
            </w:pPr>
            <w:r>
              <w:rPr>
                <w:rFonts w:eastAsia="仿宋"/>
                <w:b/>
                <w:sz w:val="24"/>
              </w:rPr>
              <w:t>第四十五条</w:t>
            </w:r>
            <w:r>
              <w:rPr>
                <w:rFonts w:hint="eastAsia" w:eastAsia="仿宋"/>
                <w:b/>
                <w:sz w:val="24"/>
                <w:lang w:val="en-US" w:eastAsia="zh-CN"/>
              </w:rPr>
              <w:t xml:space="preserve"> </w:t>
            </w:r>
            <w:r>
              <w:rPr>
                <w:rFonts w:eastAsia="仿宋"/>
                <w:color w:val="333333"/>
                <w:kern w:val="0"/>
                <w:sz w:val="24"/>
                <w:szCs w:val="24"/>
              </w:rPr>
              <w:t> 花生期货车（船）板交割委托交易所办理结算的，应当在交割服务机构交割。不委托交易所结算的，经买卖双方协议一致，可以按照协议里约定的地点进行交割。</w:t>
            </w:r>
          </w:p>
        </w:tc>
        <w:tc>
          <w:tcPr>
            <w:tcW w:w="4200" w:type="dxa"/>
            <w:noWrap w:val="0"/>
            <w:vAlign w:val="top"/>
          </w:tcPr>
          <w:p>
            <w:pPr>
              <w:widowControl/>
              <w:adjustRightInd w:val="0"/>
              <w:ind w:firstLine="481" w:firstLineChars="200"/>
              <w:rPr>
                <w:rFonts w:eastAsia="仿宋"/>
                <w:b/>
                <w:sz w:val="24"/>
                <w:u w:val="single"/>
              </w:rPr>
            </w:pPr>
            <w:r>
              <w:rPr>
                <w:rFonts w:eastAsia="仿宋"/>
                <w:b/>
                <w:sz w:val="24"/>
              </w:rPr>
              <w:t>第四十</w:t>
            </w:r>
            <w:r>
              <w:rPr>
                <w:rFonts w:hint="eastAsia" w:eastAsia="仿宋"/>
                <w:b/>
                <w:strike/>
                <w:dstrike w:val="0"/>
                <w:sz w:val="24"/>
                <w:lang w:eastAsia="zh-CN"/>
              </w:rPr>
              <w:t>五</w:t>
            </w:r>
            <w:r>
              <w:rPr>
                <w:rFonts w:eastAsia="仿宋"/>
                <w:b/>
                <w:color w:val="auto"/>
                <w:kern w:val="2"/>
                <w:sz w:val="24"/>
                <w:szCs w:val="24"/>
                <w:u w:val="single"/>
              </w:rPr>
              <w:t>四</w:t>
            </w:r>
            <w:r>
              <w:rPr>
                <w:rFonts w:eastAsia="仿宋"/>
                <w:b/>
                <w:sz w:val="24"/>
              </w:rPr>
              <w:t>条</w:t>
            </w:r>
            <w:r>
              <w:rPr>
                <w:rFonts w:hint="eastAsia" w:eastAsia="仿宋"/>
                <w:b/>
                <w:sz w:val="24"/>
                <w:lang w:val="en-US" w:eastAsia="zh-CN"/>
              </w:rPr>
              <w:t xml:space="preserve"> </w:t>
            </w:r>
            <w:r>
              <w:rPr>
                <w:rFonts w:eastAsia="仿宋"/>
                <w:color w:val="333333"/>
                <w:kern w:val="0"/>
                <w:sz w:val="24"/>
                <w:szCs w:val="24"/>
              </w:rPr>
              <w:t>花生期货车（船）板交割委托交易所办理结算的，应当在交割服务机构交割。</w:t>
            </w:r>
            <w:r>
              <w:rPr>
                <w:rFonts w:eastAsia="仿宋"/>
                <w:b/>
                <w:color w:val="333333"/>
                <w:kern w:val="0"/>
                <w:sz w:val="24"/>
                <w:szCs w:val="24"/>
                <w:u w:val="single"/>
              </w:rPr>
              <w:t>其中，货物到达接受交割预报的交割服务机构的，自货物全部到达之日起2个工作日内，交割预报定金予以返还；部分到达的，自货物到达之日起2个工作日内，按实际到达量返还；未到达的，不予返还。</w:t>
            </w:r>
            <w:r>
              <w:rPr>
                <w:rFonts w:eastAsia="仿宋"/>
                <w:color w:val="333333"/>
                <w:kern w:val="0"/>
                <w:sz w:val="24"/>
                <w:szCs w:val="24"/>
              </w:rPr>
              <w:t>不委托交易所结算的，</w:t>
            </w:r>
            <w:r>
              <w:rPr>
                <w:rFonts w:eastAsia="仿宋"/>
                <w:strike/>
                <w:dstrike w:val="0"/>
                <w:color w:val="333333"/>
                <w:kern w:val="0"/>
                <w:sz w:val="24"/>
                <w:szCs w:val="24"/>
              </w:rPr>
              <w:t>经买卖双方协议一致，可以按照协议里约定的地点进行交割。</w:t>
            </w:r>
            <w:r>
              <w:rPr>
                <w:rFonts w:eastAsia="仿宋"/>
                <w:b/>
                <w:color w:val="333333"/>
                <w:kern w:val="0"/>
                <w:sz w:val="24"/>
                <w:szCs w:val="24"/>
                <w:u w:val="single"/>
              </w:rPr>
              <w:t>交割预报定金自双方签订《车（船）板交割协议书》之日起2个工作日内予以返还。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134" w:type="dxa"/>
            <w:noWrap w:val="0"/>
            <w:vAlign w:val="top"/>
          </w:tcPr>
          <w:p>
            <w:pPr>
              <w:widowControl/>
              <w:adjustRightInd w:val="0"/>
              <w:ind w:firstLine="481" w:firstLineChars="200"/>
              <w:rPr>
                <w:rFonts w:eastAsia="仿宋"/>
                <w:sz w:val="24"/>
              </w:rPr>
            </w:pPr>
            <w:r>
              <w:rPr>
                <w:rFonts w:eastAsia="仿宋"/>
                <w:b/>
                <w:sz w:val="24"/>
              </w:rPr>
              <w:t>第四十六条</w:t>
            </w:r>
            <w:r>
              <w:rPr>
                <w:rFonts w:hint="eastAsia" w:eastAsia="仿宋"/>
                <w:b/>
                <w:sz w:val="24"/>
                <w:lang w:val="en-US" w:eastAsia="zh-CN"/>
              </w:rPr>
              <w:t xml:space="preserve"> </w:t>
            </w:r>
            <w:r>
              <w:rPr>
                <w:rFonts w:eastAsia="仿宋"/>
                <w:color w:val="333333"/>
                <w:kern w:val="0"/>
                <w:sz w:val="24"/>
                <w:szCs w:val="24"/>
              </w:rPr>
              <w:t>花生买卖双方应当在《车（船）板交割协议书》签订之日起（不含该日）3个日历日内进行货物交收。卖方未在第3个日历日下午1时30分前将货物运达交割服务机构或者买方未按时到场监收的，视为未按规定时间交收货物，新的交收时间由交割服务机构根据自身服务能力重新确定并通知买卖双方。当日交收量超过交割服务机构服务能力的，交割服务机构可以延后交收时间，并通知买卖双方。</w:t>
            </w:r>
          </w:p>
        </w:tc>
        <w:tc>
          <w:tcPr>
            <w:tcW w:w="4200" w:type="dxa"/>
            <w:noWrap w:val="0"/>
            <w:vAlign w:val="top"/>
          </w:tcPr>
          <w:p>
            <w:pPr>
              <w:widowControl/>
              <w:adjustRightInd w:val="0"/>
              <w:ind w:firstLine="481" w:firstLineChars="200"/>
              <w:rPr>
                <w:rFonts w:eastAsia="仿宋"/>
                <w:sz w:val="24"/>
              </w:rPr>
            </w:pPr>
            <w:r>
              <w:rPr>
                <w:rFonts w:eastAsia="仿宋"/>
                <w:b/>
                <w:sz w:val="24"/>
              </w:rPr>
              <w:t>第四十</w:t>
            </w:r>
            <w:r>
              <w:rPr>
                <w:rFonts w:eastAsia="仿宋"/>
                <w:b/>
                <w:strike/>
                <w:dstrike w:val="0"/>
                <w:sz w:val="24"/>
              </w:rPr>
              <w:t>六</w:t>
            </w:r>
            <w:r>
              <w:rPr>
                <w:rFonts w:eastAsia="仿宋"/>
                <w:b/>
                <w:color w:val="auto"/>
                <w:kern w:val="2"/>
                <w:sz w:val="24"/>
                <w:szCs w:val="24"/>
                <w:u w:val="single"/>
              </w:rPr>
              <w:t>五</w:t>
            </w:r>
            <w:r>
              <w:rPr>
                <w:rFonts w:eastAsia="仿宋"/>
                <w:b/>
                <w:sz w:val="24"/>
              </w:rPr>
              <w:t>条</w:t>
            </w:r>
            <w:r>
              <w:rPr>
                <w:rFonts w:hint="eastAsia" w:eastAsia="仿宋"/>
                <w:b/>
                <w:sz w:val="24"/>
                <w:lang w:val="en-US" w:eastAsia="zh-CN"/>
              </w:rPr>
              <w:t xml:space="preserve"> </w:t>
            </w:r>
            <w:r>
              <w:rPr>
                <w:rFonts w:eastAsia="仿宋"/>
                <w:color w:val="333333"/>
                <w:kern w:val="0"/>
                <w:sz w:val="24"/>
                <w:szCs w:val="24"/>
              </w:rPr>
              <w:t>花生买卖双方应当在《车（船）板交割协议书》签订之日起（不含该日）3个日历日内</w:t>
            </w:r>
            <w:r>
              <w:rPr>
                <w:rFonts w:eastAsia="仿宋"/>
                <w:strike/>
                <w:dstrike w:val="0"/>
                <w:color w:val="333333"/>
                <w:kern w:val="0"/>
                <w:sz w:val="24"/>
                <w:szCs w:val="24"/>
              </w:rPr>
              <w:t>进行货物交收</w:t>
            </w:r>
            <w:r>
              <w:rPr>
                <w:rFonts w:eastAsia="仿宋"/>
                <w:b/>
                <w:color w:val="333333"/>
                <w:kern w:val="0"/>
                <w:sz w:val="24"/>
                <w:szCs w:val="24"/>
                <w:u w:val="single"/>
              </w:rPr>
              <w:t>与车（船）板交割服务机构签订《花生车（船）板货物交收三方协议书》，并按协议书中约定时间进行货物交收</w:t>
            </w:r>
            <w:r>
              <w:rPr>
                <w:rFonts w:eastAsia="仿宋"/>
                <w:color w:val="333333"/>
                <w:kern w:val="0"/>
                <w:sz w:val="24"/>
                <w:szCs w:val="24"/>
              </w:rPr>
              <w:t>。卖方未在</w:t>
            </w:r>
            <w:r>
              <w:rPr>
                <w:rFonts w:eastAsia="仿宋"/>
                <w:strike/>
                <w:dstrike w:val="0"/>
                <w:color w:val="333333"/>
                <w:kern w:val="0"/>
                <w:sz w:val="24"/>
                <w:szCs w:val="24"/>
              </w:rPr>
              <w:t>第3个日历日下午1时30分</w:t>
            </w:r>
            <w:r>
              <w:rPr>
                <w:rFonts w:eastAsia="仿宋"/>
                <w:b/>
                <w:color w:val="333333"/>
                <w:kern w:val="0"/>
                <w:sz w:val="24"/>
                <w:szCs w:val="24"/>
                <w:u w:val="single"/>
              </w:rPr>
              <w:t>约定时间</w:t>
            </w:r>
            <w:r>
              <w:rPr>
                <w:rFonts w:eastAsia="仿宋"/>
                <w:color w:val="333333"/>
                <w:kern w:val="0"/>
                <w:sz w:val="24"/>
                <w:szCs w:val="24"/>
              </w:rPr>
              <w:t>前将货物运达交割服务机构或者买方未按时到场监收的，视为未按规定时间交收货物，新的交收时间由交割服务机构根据自身服务能力重新确定并通知买卖双方。当日交收量超过交割服务机构服务能力的，交割服务机构可以延后交收时间，并通知买卖双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134" w:type="dxa"/>
            <w:noWrap w:val="0"/>
            <w:vAlign w:val="top"/>
          </w:tcPr>
          <w:p>
            <w:pPr>
              <w:widowControl/>
              <w:adjustRightInd w:val="0"/>
              <w:ind w:firstLine="481" w:firstLineChars="200"/>
              <w:rPr>
                <w:rFonts w:eastAsia="仿宋"/>
                <w:b/>
                <w:sz w:val="24"/>
              </w:rPr>
            </w:pPr>
            <w:r>
              <w:rPr>
                <w:rFonts w:eastAsia="仿宋"/>
                <w:b/>
                <w:sz w:val="24"/>
              </w:rPr>
              <w:t>第四十九条</w:t>
            </w:r>
            <w:r>
              <w:rPr>
                <w:rFonts w:hint="eastAsia" w:eastAsia="仿宋"/>
                <w:b/>
                <w:sz w:val="24"/>
                <w:lang w:val="en-US" w:eastAsia="zh-CN"/>
              </w:rPr>
              <w:t xml:space="preserve"> </w:t>
            </w:r>
            <w:r>
              <w:rPr>
                <w:rFonts w:eastAsia="仿宋"/>
                <w:color w:val="333333"/>
                <w:kern w:val="0"/>
                <w:sz w:val="24"/>
                <w:szCs w:val="24"/>
              </w:rPr>
              <w:t>花生未发运货物质量达不到交割标准的，卖方应当及时更换货物。无法更换货物的，买卖双方可以协商处理；协商不一致的，按照《郑州商品交易所期货交割管理办法》“交割违约处理”有关规定处理。</w:t>
            </w:r>
          </w:p>
        </w:tc>
        <w:tc>
          <w:tcPr>
            <w:tcW w:w="4200" w:type="dxa"/>
            <w:noWrap w:val="0"/>
            <w:vAlign w:val="top"/>
          </w:tcPr>
          <w:p>
            <w:pPr>
              <w:widowControl/>
              <w:adjustRightInd w:val="0"/>
              <w:ind w:firstLine="481" w:firstLineChars="200"/>
              <w:rPr>
                <w:rFonts w:eastAsia="仿宋"/>
                <w:sz w:val="24"/>
              </w:rPr>
            </w:pPr>
            <w:r>
              <w:rPr>
                <w:rFonts w:eastAsia="仿宋"/>
                <w:b/>
                <w:sz w:val="24"/>
              </w:rPr>
              <w:t>第四十</w:t>
            </w:r>
            <w:r>
              <w:rPr>
                <w:rFonts w:eastAsia="仿宋"/>
                <w:b/>
                <w:strike/>
                <w:dstrike w:val="0"/>
                <w:sz w:val="24"/>
              </w:rPr>
              <w:t>九</w:t>
            </w:r>
            <w:r>
              <w:rPr>
                <w:rFonts w:eastAsia="仿宋"/>
                <w:b/>
                <w:color w:val="333333"/>
                <w:kern w:val="0"/>
                <w:sz w:val="24"/>
                <w:szCs w:val="24"/>
                <w:u w:val="single"/>
              </w:rPr>
              <w:t>八</w:t>
            </w:r>
            <w:r>
              <w:rPr>
                <w:rFonts w:eastAsia="仿宋"/>
                <w:b/>
                <w:sz w:val="24"/>
              </w:rPr>
              <w:t>条</w:t>
            </w:r>
            <w:r>
              <w:rPr>
                <w:rFonts w:hint="eastAsia" w:eastAsia="仿宋"/>
                <w:b/>
                <w:sz w:val="24"/>
                <w:lang w:val="en-US" w:eastAsia="zh-CN"/>
              </w:rPr>
              <w:t xml:space="preserve"> </w:t>
            </w:r>
            <w:r>
              <w:rPr>
                <w:rFonts w:eastAsia="仿宋"/>
                <w:b/>
                <w:color w:val="333333"/>
                <w:kern w:val="0"/>
                <w:sz w:val="24"/>
                <w:szCs w:val="24"/>
                <w:u w:val="single"/>
              </w:rPr>
              <w:t>复检前，</w:t>
            </w:r>
            <w:r>
              <w:rPr>
                <w:rFonts w:eastAsia="仿宋"/>
                <w:color w:val="333333"/>
                <w:kern w:val="0"/>
                <w:sz w:val="24"/>
                <w:szCs w:val="24"/>
              </w:rPr>
              <w:t>花生未发运货物质量达不到交割标准</w:t>
            </w:r>
            <w:r>
              <w:rPr>
                <w:rFonts w:eastAsia="仿宋"/>
                <w:b/>
                <w:color w:val="333333"/>
                <w:kern w:val="0"/>
                <w:sz w:val="24"/>
                <w:szCs w:val="24"/>
                <w:u w:val="single"/>
              </w:rPr>
              <w:t>且卖方无异议</w:t>
            </w:r>
            <w:r>
              <w:rPr>
                <w:rFonts w:eastAsia="仿宋"/>
                <w:color w:val="333333"/>
                <w:kern w:val="0"/>
                <w:sz w:val="24"/>
                <w:szCs w:val="24"/>
              </w:rPr>
              <w:t>的，卖方应当及时更换货物。无法更换货物的，买卖双方可以协商处理；协商不一致的，按照《郑州商品交易所期货交割管理办法》</w:t>
            </w:r>
            <w:r>
              <w:rPr>
                <w:rFonts w:eastAsia="仿宋"/>
                <w:b/>
                <w:bCs/>
                <w:color w:val="333333"/>
                <w:kern w:val="0"/>
                <w:sz w:val="24"/>
                <w:szCs w:val="24"/>
                <w:u w:val="single"/>
              </w:rPr>
              <w:t>有关</w:t>
            </w:r>
            <w:r>
              <w:rPr>
                <w:rFonts w:eastAsia="仿宋"/>
                <w:strike/>
                <w:dstrike w:val="0"/>
                <w:color w:val="333333"/>
                <w:kern w:val="0"/>
                <w:sz w:val="24"/>
                <w:szCs w:val="24"/>
                <w:u w:val="single"/>
              </w:rPr>
              <w:t>“</w:t>
            </w:r>
            <w:r>
              <w:rPr>
                <w:rFonts w:eastAsia="仿宋"/>
                <w:color w:val="333333"/>
                <w:kern w:val="0"/>
                <w:sz w:val="24"/>
                <w:szCs w:val="24"/>
              </w:rPr>
              <w:t>交割违约</w:t>
            </w:r>
            <w:r>
              <w:rPr>
                <w:rFonts w:eastAsia="仿宋"/>
                <w:strike/>
                <w:dstrike w:val="0"/>
                <w:color w:val="333333"/>
                <w:kern w:val="0"/>
                <w:sz w:val="24"/>
                <w:szCs w:val="24"/>
              </w:rPr>
              <w:t>处理”有关</w:t>
            </w:r>
            <w:r>
              <w:rPr>
                <w:rFonts w:eastAsia="仿宋"/>
                <w:b/>
                <w:bCs/>
                <w:color w:val="333333"/>
                <w:kern w:val="0"/>
                <w:sz w:val="24"/>
                <w:szCs w:val="24"/>
                <w:u w:val="single"/>
              </w:rPr>
              <w:t>的</w:t>
            </w:r>
            <w:r>
              <w:rPr>
                <w:rFonts w:eastAsia="仿宋"/>
                <w:color w:val="333333"/>
                <w:kern w:val="0"/>
                <w:sz w:val="24"/>
                <w:szCs w:val="24"/>
              </w:rPr>
              <w:t>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134" w:type="dxa"/>
            <w:noWrap w:val="0"/>
            <w:vAlign w:val="top"/>
          </w:tcPr>
          <w:p>
            <w:pPr>
              <w:widowControl/>
              <w:adjustRightInd w:val="0"/>
              <w:ind w:firstLine="481" w:firstLineChars="200"/>
              <w:rPr>
                <w:rFonts w:eastAsia="仿宋"/>
                <w:b/>
                <w:sz w:val="24"/>
              </w:rPr>
            </w:pPr>
            <w:r>
              <w:rPr>
                <w:rFonts w:eastAsia="仿宋"/>
                <w:b/>
                <w:sz w:val="24"/>
              </w:rPr>
              <w:t>第五十条</w:t>
            </w:r>
          </w:p>
          <w:p>
            <w:pPr>
              <w:widowControl/>
              <w:ind w:firstLine="480" w:firstLineChars="200"/>
              <w:jc w:val="both"/>
              <w:rPr>
                <w:rFonts w:eastAsia="仿宋"/>
                <w:color w:val="333333"/>
                <w:kern w:val="0"/>
                <w:sz w:val="24"/>
                <w:szCs w:val="24"/>
              </w:rPr>
            </w:pPr>
            <w:r>
              <w:rPr>
                <w:rFonts w:eastAsia="仿宋"/>
                <w:sz w:val="24"/>
              </w:rPr>
              <w:t>……</w:t>
            </w:r>
          </w:p>
          <w:p>
            <w:pPr>
              <w:widowControl/>
              <w:ind w:firstLine="480" w:firstLineChars="200"/>
              <w:rPr>
                <w:rFonts w:eastAsia="仿宋"/>
                <w:color w:val="333333"/>
                <w:kern w:val="0"/>
                <w:sz w:val="24"/>
                <w:szCs w:val="24"/>
              </w:rPr>
            </w:pPr>
            <w:r>
              <w:rPr>
                <w:rFonts w:eastAsia="仿宋"/>
                <w:color w:val="333333"/>
                <w:kern w:val="0"/>
                <w:sz w:val="24"/>
                <w:szCs w:val="24"/>
              </w:rPr>
              <w:t>复检结果中，酸价或者霉变粒指标所在升贴水区间高于车（船）板货物信息标示的升贴水区间，或者含油率指标所在升贴水区间低于车（船）板货物信息标示的升贴水区间的，以复检结果确定的升贴水区间为准。复检结果仍在交割标准允许范围内的，买方应当接受，由此产生的复检及相关费用由卖方承担，卖方对买方按照交易所规定的升贴水标准进行补偿。</w:t>
            </w:r>
          </w:p>
          <w:p>
            <w:pPr>
              <w:widowControl/>
              <w:ind w:firstLine="480" w:firstLineChars="200"/>
              <w:jc w:val="both"/>
              <w:rPr>
                <w:rFonts w:eastAsia="仿宋"/>
                <w:color w:val="333333"/>
                <w:kern w:val="0"/>
                <w:sz w:val="24"/>
                <w:szCs w:val="24"/>
              </w:rPr>
            </w:pPr>
            <w:r>
              <w:rPr>
                <w:rFonts w:eastAsia="仿宋"/>
                <w:sz w:val="24"/>
              </w:rPr>
              <w:t>……</w:t>
            </w:r>
          </w:p>
          <w:p>
            <w:pPr>
              <w:widowControl/>
              <w:ind w:firstLine="481" w:firstLineChars="200"/>
              <w:rPr>
                <w:rFonts w:eastAsia="仿宋"/>
                <w:b/>
                <w:sz w:val="24"/>
              </w:rPr>
            </w:pPr>
          </w:p>
        </w:tc>
        <w:tc>
          <w:tcPr>
            <w:tcW w:w="4200" w:type="dxa"/>
            <w:noWrap w:val="0"/>
            <w:vAlign w:val="top"/>
          </w:tcPr>
          <w:p>
            <w:pPr>
              <w:widowControl/>
              <w:adjustRightInd w:val="0"/>
              <w:ind w:firstLine="481" w:firstLineChars="200"/>
              <w:jc w:val="both"/>
              <w:rPr>
                <w:rFonts w:eastAsia="仿宋"/>
                <w:b/>
                <w:sz w:val="24"/>
              </w:rPr>
            </w:pPr>
            <w:r>
              <w:rPr>
                <w:rFonts w:eastAsia="仿宋"/>
                <w:b/>
                <w:sz w:val="24"/>
              </w:rPr>
              <w:t>第</w:t>
            </w:r>
            <w:r>
              <w:rPr>
                <w:rFonts w:hint="eastAsia" w:eastAsia="仿宋"/>
                <w:b/>
                <w:strike/>
                <w:dstrike w:val="0"/>
                <w:sz w:val="24"/>
                <w:lang w:eastAsia="zh-CN"/>
              </w:rPr>
              <w:t>五</w:t>
            </w:r>
            <w:r>
              <w:rPr>
                <w:rFonts w:hint="default" w:eastAsia="仿宋"/>
                <w:b/>
                <w:strike w:val="0"/>
                <w:dstrike w:val="0"/>
                <w:color w:val="333333"/>
                <w:kern w:val="0"/>
                <w:sz w:val="24"/>
                <w:szCs w:val="24"/>
                <w:u w:val="single"/>
                <w:lang w:eastAsia="zh-CN"/>
              </w:rPr>
              <w:t>四</w:t>
            </w:r>
            <w:r>
              <w:rPr>
                <w:rFonts w:eastAsia="仿宋"/>
                <w:b/>
                <w:sz w:val="24"/>
              </w:rPr>
              <w:t>十</w:t>
            </w:r>
            <w:r>
              <w:rPr>
                <w:rFonts w:eastAsia="仿宋"/>
                <w:b/>
                <w:bCs w:val="0"/>
                <w:color w:val="333333"/>
                <w:kern w:val="0"/>
                <w:sz w:val="24"/>
                <w:szCs w:val="24"/>
                <w:u w:val="single"/>
              </w:rPr>
              <w:t>九</w:t>
            </w:r>
            <w:r>
              <w:rPr>
                <w:rFonts w:eastAsia="仿宋"/>
                <w:b/>
                <w:sz w:val="24"/>
              </w:rPr>
              <w:t>条</w:t>
            </w:r>
          </w:p>
          <w:p>
            <w:pPr>
              <w:widowControl/>
              <w:ind w:firstLine="480" w:firstLineChars="200"/>
              <w:jc w:val="both"/>
              <w:rPr>
                <w:rFonts w:eastAsia="仿宋"/>
                <w:color w:val="333333"/>
                <w:kern w:val="0"/>
                <w:sz w:val="24"/>
                <w:szCs w:val="24"/>
              </w:rPr>
            </w:pPr>
            <w:r>
              <w:rPr>
                <w:rFonts w:eastAsia="仿宋"/>
                <w:sz w:val="24"/>
              </w:rPr>
              <w:t>……</w:t>
            </w:r>
          </w:p>
          <w:p>
            <w:pPr>
              <w:widowControl/>
              <w:ind w:firstLine="480" w:firstLineChars="200"/>
              <w:rPr>
                <w:rFonts w:eastAsia="仿宋"/>
                <w:color w:val="333333"/>
                <w:kern w:val="0"/>
                <w:sz w:val="24"/>
                <w:szCs w:val="24"/>
              </w:rPr>
            </w:pPr>
            <w:r>
              <w:rPr>
                <w:rFonts w:eastAsia="仿宋"/>
                <w:color w:val="333333"/>
                <w:kern w:val="0"/>
                <w:sz w:val="24"/>
                <w:szCs w:val="24"/>
              </w:rPr>
              <w:t>复检结果中，酸价或者霉变粒指标所在升贴水区间高于车（船）板货物信息标示的升贴水区间，或者含油率指标所在升贴水区间低于车（船）板货物信息标示的升贴水区间的，以复检结果确定的升贴水区间为准。复检结果仍在交割标准允许范围内的，买方应当接受，由此产生的复检及相关费用由卖方承担，卖方对买方按照交易所规定的升贴水标准进行补偿。</w:t>
            </w:r>
          </w:p>
          <w:p>
            <w:pPr>
              <w:widowControl/>
              <w:ind w:firstLine="481" w:firstLineChars="200"/>
              <w:rPr>
                <w:rFonts w:eastAsia="仿宋"/>
                <w:b/>
                <w:color w:val="333333"/>
                <w:kern w:val="0"/>
                <w:sz w:val="24"/>
                <w:szCs w:val="24"/>
                <w:u w:val="single"/>
              </w:rPr>
            </w:pPr>
            <w:r>
              <w:rPr>
                <w:rFonts w:eastAsia="仿宋"/>
                <w:b/>
                <w:color w:val="333333"/>
                <w:kern w:val="0"/>
                <w:sz w:val="24"/>
                <w:szCs w:val="24"/>
                <w:u w:val="single"/>
              </w:rPr>
              <w:t>复检结果不符合交割质量标准的，买卖双方可以协商处理，协商不一致的，按照《郑州商品交易所期货交割管理办法》有关交割违约的规定处理。</w:t>
            </w:r>
          </w:p>
          <w:p>
            <w:pPr>
              <w:widowControl/>
              <w:ind w:firstLine="480" w:firstLineChars="200"/>
              <w:jc w:val="both"/>
              <w:rPr>
                <w:rFonts w:eastAsia="仿宋"/>
                <w:sz w:val="24"/>
              </w:rPr>
            </w:pPr>
            <w:r>
              <w:rPr>
                <w:rFonts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134" w:type="dxa"/>
            <w:noWrap w:val="0"/>
            <w:vAlign w:val="top"/>
          </w:tcPr>
          <w:p>
            <w:pPr>
              <w:widowControl/>
              <w:adjustRightInd w:val="0"/>
              <w:ind w:firstLine="481" w:firstLineChars="200"/>
              <w:rPr>
                <w:rFonts w:eastAsia="仿宋"/>
                <w:b/>
                <w:sz w:val="24"/>
              </w:rPr>
            </w:pPr>
            <w:r>
              <w:rPr>
                <w:rFonts w:eastAsia="仿宋"/>
                <w:b/>
                <w:sz w:val="24"/>
              </w:rPr>
              <w:t>第五十一条</w:t>
            </w:r>
          </w:p>
          <w:p>
            <w:pPr>
              <w:widowControl/>
              <w:ind w:firstLine="480" w:firstLineChars="200"/>
              <w:jc w:val="both"/>
              <w:rPr>
                <w:rFonts w:eastAsia="仿宋"/>
                <w:sz w:val="24"/>
              </w:rPr>
            </w:pPr>
            <w:r>
              <w:rPr>
                <w:rFonts w:eastAsia="仿宋"/>
                <w:sz w:val="24"/>
              </w:rPr>
              <w:t>……</w:t>
            </w:r>
          </w:p>
          <w:p>
            <w:pPr>
              <w:widowControl/>
              <w:ind w:firstLine="480" w:firstLineChars="200"/>
              <w:rPr>
                <w:rFonts w:eastAsia="仿宋"/>
                <w:color w:val="333333"/>
                <w:kern w:val="0"/>
                <w:sz w:val="24"/>
                <w:szCs w:val="24"/>
              </w:rPr>
            </w:pPr>
            <w:r>
              <w:rPr>
                <w:rFonts w:eastAsia="仿宋"/>
                <w:color w:val="333333"/>
                <w:kern w:val="0"/>
                <w:sz w:val="24"/>
                <w:szCs w:val="24"/>
              </w:rPr>
              <w:t>货物发运完毕后，根据每天双方签字确认的交接过磅码单，经核准累计后确认货物重量。买卖双方签署《重量验收确认单》，作为交割货物重量的判定依据。</w:t>
            </w:r>
          </w:p>
          <w:p>
            <w:pPr>
              <w:widowControl/>
              <w:ind w:firstLine="480" w:firstLineChars="200"/>
              <w:jc w:val="both"/>
              <w:rPr>
                <w:rFonts w:eastAsia="仿宋"/>
                <w:sz w:val="24"/>
              </w:rPr>
            </w:pPr>
            <w:r>
              <w:rPr>
                <w:rFonts w:eastAsia="仿宋"/>
                <w:sz w:val="24"/>
              </w:rPr>
              <w:t>……</w:t>
            </w:r>
          </w:p>
        </w:tc>
        <w:tc>
          <w:tcPr>
            <w:tcW w:w="4200" w:type="dxa"/>
            <w:noWrap w:val="0"/>
            <w:vAlign w:val="top"/>
          </w:tcPr>
          <w:p>
            <w:pPr>
              <w:widowControl/>
              <w:adjustRightInd w:val="0"/>
              <w:ind w:firstLine="481" w:firstLineChars="200"/>
              <w:rPr>
                <w:rFonts w:eastAsia="仿宋"/>
                <w:b/>
                <w:sz w:val="24"/>
              </w:rPr>
            </w:pPr>
            <w:r>
              <w:rPr>
                <w:rFonts w:eastAsia="仿宋"/>
                <w:b/>
                <w:sz w:val="24"/>
              </w:rPr>
              <w:t>第五十</w:t>
            </w:r>
            <w:r>
              <w:rPr>
                <w:rFonts w:hint="eastAsia" w:eastAsia="仿宋"/>
                <w:b/>
                <w:strike/>
                <w:dstrike w:val="0"/>
                <w:sz w:val="24"/>
                <w:lang w:eastAsia="zh-CN"/>
              </w:rPr>
              <w:t>一</w:t>
            </w:r>
            <w:r>
              <w:rPr>
                <w:rFonts w:eastAsia="仿宋"/>
                <w:b/>
                <w:sz w:val="24"/>
              </w:rPr>
              <w:t>条</w:t>
            </w:r>
          </w:p>
          <w:p>
            <w:pPr>
              <w:widowControl/>
              <w:ind w:firstLine="480" w:firstLineChars="200"/>
              <w:jc w:val="both"/>
              <w:rPr>
                <w:rFonts w:eastAsia="仿宋"/>
                <w:sz w:val="24"/>
              </w:rPr>
            </w:pPr>
            <w:r>
              <w:rPr>
                <w:rFonts w:eastAsia="仿宋"/>
                <w:sz w:val="24"/>
              </w:rPr>
              <w:t>……</w:t>
            </w:r>
          </w:p>
          <w:p>
            <w:pPr>
              <w:widowControl/>
              <w:ind w:firstLine="480" w:firstLineChars="200"/>
              <w:rPr>
                <w:rFonts w:eastAsia="仿宋"/>
                <w:b/>
                <w:color w:val="333333"/>
                <w:kern w:val="0"/>
                <w:sz w:val="24"/>
                <w:szCs w:val="24"/>
                <w:u w:val="single"/>
              </w:rPr>
            </w:pPr>
            <w:r>
              <w:rPr>
                <w:rFonts w:eastAsia="仿宋"/>
                <w:color w:val="333333"/>
                <w:kern w:val="0"/>
                <w:sz w:val="24"/>
                <w:szCs w:val="24"/>
              </w:rPr>
              <w:t>货物发运完毕后，根据每天双方签字确认的交接过磅码单，经核准累计后确认货物重量。买卖双方签署《重量验收确认单》，作为交割货物重量的判定依据。</w:t>
            </w:r>
            <w:r>
              <w:rPr>
                <w:rFonts w:eastAsia="仿宋"/>
                <w:b/>
                <w:color w:val="333333"/>
                <w:kern w:val="0"/>
                <w:sz w:val="24"/>
                <w:szCs w:val="24"/>
                <w:u w:val="single"/>
              </w:rPr>
              <w:t>卖方客户应足量交割。不能足量交割的，卖方应当按照花生期货最近交割月最高交割结算价核算短少货物价款，赔偿买方；双方协商一致的除外。</w:t>
            </w:r>
          </w:p>
          <w:p>
            <w:pPr>
              <w:widowControl/>
              <w:adjustRightInd w:val="0"/>
              <w:ind w:firstLine="480" w:firstLineChars="200"/>
              <w:rPr>
                <w:rFonts w:eastAsia="仿宋"/>
                <w:b/>
                <w:sz w:val="24"/>
              </w:rPr>
            </w:pPr>
            <w:r>
              <w:rPr>
                <w:rFonts w:eastAsia="仿宋"/>
                <w:sz w:val="24"/>
              </w:rPr>
              <w:t>……</w:t>
            </w:r>
          </w:p>
        </w:tc>
      </w:tr>
    </w:tbl>
    <w:p>
      <w:pPr>
        <w:numPr>
          <w:ilvl w:val="0"/>
          <w:numId w:val="0"/>
        </w:numPr>
        <w:jc w:val="both"/>
        <w:rPr>
          <w:rFonts w:hint="eastAsia" w:ascii="楷体" w:hAnsi="楷体" w:eastAsia="楷体" w:cs="楷体"/>
          <w:color w:val="000000"/>
          <w:sz w:val="24"/>
          <w:szCs w:val="24"/>
          <w:lang w:val="en-US" w:eastAsia="zh-CN"/>
        </w:rPr>
      </w:pPr>
    </w:p>
    <w:p>
      <w:pPr>
        <w:numPr>
          <w:ilvl w:val="0"/>
          <w:numId w:val="0"/>
        </w:numPr>
        <w:jc w:val="both"/>
        <w:rPr>
          <w:rFonts w:hint="eastAsia" w:ascii="黑体" w:hAnsi="黑体" w:eastAsia="黑体" w:cs="黑体"/>
          <w:sz w:val="32"/>
          <w:szCs w:val="32"/>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rPr>
          <w:rFonts w:ascii="仿宋" w:hAnsi="仿宋" w:eastAsia="仿宋"/>
          <w:sz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8F77D0C"/>
    <w:rsid w:val="1F778132"/>
    <w:rsid w:val="230F7FE8"/>
    <w:rsid w:val="27679A0A"/>
    <w:rsid w:val="2D7D2556"/>
    <w:rsid w:val="2EFEE665"/>
    <w:rsid w:val="2FFFAF04"/>
    <w:rsid w:val="37FED06D"/>
    <w:rsid w:val="37FFAF8E"/>
    <w:rsid w:val="3F17669A"/>
    <w:rsid w:val="403628F7"/>
    <w:rsid w:val="40DB5EBF"/>
    <w:rsid w:val="47F5367F"/>
    <w:rsid w:val="5C817FF0"/>
    <w:rsid w:val="5CDAEBB8"/>
    <w:rsid w:val="65F791E2"/>
    <w:rsid w:val="6FFC9679"/>
    <w:rsid w:val="709163D9"/>
    <w:rsid w:val="70CDB561"/>
    <w:rsid w:val="717F7D64"/>
    <w:rsid w:val="73FDAE6D"/>
    <w:rsid w:val="75BF9897"/>
    <w:rsid w:val="78031D0F"/>
    <w:rsid w:val="785F524B"/>
    <w:rsid w:val="79FEBB52"/>
    <w:rsid w:val="7B7F0A53"/>
    <w:rsid w:val="7CDBF2E0"/>
    <w:rsid w:val="7EE1902C"/>
    <w:rsid w:val="7FFDA52B"/>
    <w:rsid w:val="9FEFD8CB"/>
    <w:rsid w:val="AF77CDF3"/>
    <w:rsid w:val="BB8AD14A"/>
    <w:rsid w:val="BBF3D8C6"/>
    <w:rsid w:val="BFCF6FDF"/>
    <w:rsid w:val="DADD7B0B"/>
    <w:rsid w:val="EBF1D94A"/>
    <w:rsid w:val="EDDFCB1F"/>
    <w:rsid w:val="EE9E63E8"/>
    <w:rsid w:val="EF6F6DF7"/>
    <w:rsid w:val="EFCBC0C9"/>
    <w:rsid w:val="EFFD614B"/>
    <w:rsid w:val="F7DEB1E6"/>
    <w:rsid w:val="F9D6F5B0"/>
    <w:rsid w:val="FAED43EF"/>
    <w:rsid w:val="FBB5CB40"/>
    <w:rsid w:val="FD7C35DF"/>
    <w:rsid w:val="FDB5CBA5"/>
    <w:rsid w:val="FF6A1412"/>
    <w:rsid w:val="FF7DE957"/>
    <w:rsid w:val="FFF75C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rPr>
      <w:rFonts w:ascii="仿宋_GB2312" w:eastAsia="仿宋_GB2312"/>
      <w:sz w:val="32"/>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日期 Char"/>
    <w:basedOn w:val="7"/>
    <w:link w:val="2"/>
    <w:qFormat/>
    <w:uiPriority w:val="0"/>
    <w:rPr>
      <w:rFonts w:ascii="仿宋_GB2312" w:hAnsi="Times New Roman" w:eastAsia="仿宋_GB2312" w:cs="Times New Roman"/>
      <w:sz w:val="32"/>
      <w:szCs w:val="24"/>
    </w:rPr>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页眉 Char"/>
    <w:basedOn w:val="7"/>
    <w:link w:val="4"/>
    <w:qFormat/>
    <w:uiPriority w:val="99"/>
    <w:rPr>
      <w:rFonts w:ascii="Times New Roman" w:hAnsi="Times New Roman" w:eastAsia="宋体" w:cs="Times New Roman"/>
      <w:sz w:val="18"/>
      <w:szCs w:val="18"/>
    </w:rPr>
  </w:style>
  <w:style w:type="paragraph" w:customStyle="1" w:styleId="12">
    <w:name w:val="正文内容"/>
    <w:basedOn w:val="1"/>
    <w:qFormat/>
    <w:uiPriority w:val="0"/>
    <w:pPr>
      <w:spacing w:line="360" w:lineRule="auto"/>
      <w:ind w:firstLine="200" w:firstLineChars="200"/>
    </w:pPr>
    <w:rPr>
      <w:rFonts w:eastAsia="仿宋"/>
      <w:kern w:val="0"/>
      <w:sz w:val="32"/>
      <w:szCs w:val="32"/>
      <w:lang w:val="zh-CN"/>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spacing w:line="360" w:lineRule="auto"/>
    </w:pPr>
    <w:rPr>
      <w:rFonts w:ascii="仿宋" w:hAnsi="Times New Roman" w:eastAsia="仿宋" w:cs="仿宋"/>
      <w:color w:val="000000"/>
      <w:kern w:val="0"/>
      <w:sz w:val="24"/>
      <w:szCs w:val="24"/>
      <w:lang w:val="en-US" w:eastAsia="zh-CN" w:bidi="ar-SA"/>
    </w:rPr>
  </w:style>
  <w:style w:type="paragraph" w:customStyle="1" w:styleId="15">
    <w:name w:val="正文仿宋"/>
    <w:basedOn w:val="1"/>
    <w:qFormat/>
    <w:uiPriority w:val="0"/>
    <w:pPr>
      <w:widowControl/>
      <w:spacing w:afterLines="50" w:line="276" w:lineRule="auto"/>
      <w:ind w:firstLine="643" w:firstLineChars="201"/>
      <w:jc w:val="left"/>
    </w:pPr>
    <w:rPr>
      <w:rFonts w:ascii="仿宋" w:hAnsi="仿宋" w:eastAsia="仿宋" w:cs="仿宋_GB2312"/>
      <w:color w:val="000000"/>
      <w:kern w:val="0"/>
      <w:sz w:val="32"/>
      <w:szCs w:val="32"/>
      <w:lang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2019-09-21T06:10:00Z</dcterms:created>
  <dc:creator>CN=李小鹏/OU=办公室/O=CZCE</dc:creator>
  <cp:lastModifiedBy>邢艳艳</cp:lastModifiedBy>
  <dcterms:modified xsi:type="dcterms:W3CDTF">2024-05-31T18:33:25Z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9DFB86C1438C42D5A0F56FD4A09D5806</vt:lpwstr>
  </property>
</Properties>
</file>