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7" w:lineRule="auto"/>
        <w:rPr>
          <w:rFonts w:ascii="Arial"/>
          <w:sz w:val="21"/>
        </w:rPr>
      </w:pPr>
      <w:r/>
    </w:p>
    <w:p>
      <w:pPr>
        <w:ind w:left="2233"/>
        <w:spacing w:before="184" w:line="18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国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金融期货交易所</w:t>
      </w:r>
    </w:p>
    <w:p>
      <w:pPr>
        <w:ind w:left="1372"/>
        <w:spacing w:line="20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2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年期国债期货合约交易细则</w:t>
      </w:r>
    </w:p>
    <w:p>
      <w:pPr>
        <w:ind w:left="92" w:right="400" w:firstLine="144"/>
        <w:spacing w:before="2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日发布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日第一次修</w:t>
      </w:r>
      <w:r>
        <w:rPr>
          <w:rFonts w:ascii="FangSong" w:hAnsi="FangSong" w:eastAsia="FangSong" w:cs="FangSong"/>
          <w:sz w:val="31"/>
          <w:szCs w:val="31"/>
          <w:spacing w:val="-1"/>
        </w:rPr>
        <w:t>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日第二次修订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日第三次修订</w:t>
      </w:r>
    </w:p>
    <w:p>
      <w:pPr>
        <w:ind w:left="1892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3"/>
          <w:position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日第四次修订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3234"/>
        <w:spacing w:before="101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章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总则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0" w:firstLine="665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第一条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为规范中国金融期货交易所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以下简称交易所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>期</w:t>
      </w:r>
      <w:r>
        <w:rPr>
          <w:rFonts w:ascii="FangSong" w:hAnsi="FangSong" w:eastAsia="FangSong" w:cs="FangSong"/>
          <w:sz w:val="31"/>
          <w:szCs w:val="31"/>
          <w:spacing w:val="5"/>
        </w:rPr>
        <w:t>国债期货合约(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以下简称本合约)交易行为，根据《中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国金融期货交易所交易规则》及相关实施细则，制定本细</w:t>
      </w:r>
      <w:r>
        <w:rPr>
          <w:rFonts w:ascii="FangSong" w:hAnsi="FangSong" w:eastAsia="FangSong" w:cs="FangSong"/>
          <w:sz w:val="31"/>
          <w:szCs w:val="31"/>
          <w:spacing w:val="1"/>
        </w:rPr>
        <w:t>则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41" w:right="328" w:firstLine="64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交易所、会员、客户、期货保证金存管银行及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期</w:t>
      </w:r>
      <w:r>
        <w:rPr>
          <w:rFonts w:ascii="FangSong" w:hAnsi="FangSong" w:eastAsia="FangSong" w:cs="FangSong"/>
          <w:sz w:val="31"/>
          <w:szCs w:val="31"/>
          <w:spacing w:val="12"/>
        </w:rPr>
        <w:t>货</w:t>
      </w:r>
      <w:r>
        <w:rPr>
          <w:rFonts w:ascii="FangSong" w:hAnsi="FangSong" w:eastAsia="FangSong" w:cs="FangSong"/>
          <w:sz w:val="31"/>
          <w:szCs w:val="31"/>
          <w:spacing w:val="7"/>
        </w:rPr>
        <w:t>市场其他参与者应当遵守本细则。</w:t>
      </w:r>
    </w:p>
    <w:p>
      <w:pPr>
        <w:ind w:left="37" w:right="326" w:firstLine="648"/>
        <w:spacing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本细则未规定的，按照交易所相关业务规则的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规定执行。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234"/>
        <w:spacing w:before="101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章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合约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47" w:right="343" w:firstLine="638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第四条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本合约的合约标的为面值为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万元人民币、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票面利率为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3%</w:t>
      </w:r>
      <w:r>
        <w:rPr>
          <w:rFonts w:ascii="FangSong" w:hAnsi="FangSong" w:eastAsia="FangSong" w:cs="FangSong"/>
          <w:sz w:val="31"/>
          <w:szCs w:val="31"/>
          <w:spacing w:val="2"/>
        </w:rPr>
        <w:t>的名义中短期国</w:t>
      </w:r>
      <w:r>
        <w:rPr>
          <w:rFonts w:ascii="FangSong" w:hAnsi="FangSong" w:eastAsia="FangSong" w:cs="FangSong"/>
          <w:sz w:val="31"/>
          <w:szCs w:val="31"/>
          <w:spacing w:val="1"/>
        </w:rPr>
        <w:t>债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2" w:right="88" w:firstLine="653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第五条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本合约的可交割国债为发行期限不高于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合约到期月份首日剩余期限为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1.5-2.25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年的记账式附息国债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86"/>
        <w:spacing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第六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本合约以每百元面值国债作为报价单位，以净</w:t>
      </w:r>
    </w:p>
    <w:p>
      <w:pPr>
        <w:sectPr>
          <w:footerReference w:type="default" r:id="rId1"/>
          <w:pgSz w:w="11906" w:h="16839"/>
          <w:pgMar w:top="1431" w:right="1473" w:bottom="1212" w:left="1785" w:header="0" w:footer="993" w:gutter="0"/>
        </w:sectPr>
        <w:rPr/>
      </w:pPr>
    </w:p>
    <w:p>
      <w:pPr>
        <w:ind w:left="36" w:right="281" w:hanging="6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价方</w:t>
      </w:r>
      <w:r>
        <w:rPr>
          <w:rFonts w:ascii="FangSong" w:hAnsi="FangSong" w:eastAsia="FangSong" w:cs="FangSong"/>
          <w:sz w:val="31"/>
          <w:szCs w:val="31"/>
          <w:spacing w:val="11"/>
        </w:rPr>
        <w:t>式</w:t>
      </w:r>
      <w:r>
        <w:rPr>
          <w:rFonts w:ascii="FangSong" w:hAnsi="FangSong" w:eastAsia="FangSong" w:cs="FangSong"/>
          <w:sz w:val="31"/>
          <w:szCs w:val="31"/>
          <w:spacing w:val="8"/>
        </w:rPr>
        <w:t>报价。净价方式是指以不含自然增长应计利息的价格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报价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36" w:right="278" w:firstLine="64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第七条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本合约的最小变动价位为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0.002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元，合约交易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报价为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0.</w:t>
      </w:r>
      <w:r>
        <w:rPr>
          <w:rFonts w:ascii="Times New Roman" w:hAnsi="Times New Roman" w:eastAsia="Times New Roman" w:cs="Times New Roman"/>
          <w:sz w:val="31"/>
          <w:szCs w:val="31"/>
        </w:rPr>
        <w:t>002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元的整数倍。</w:t>
      </w:r>
    </w:p>
    <w:p>
      <w:pPr>
        <w:ind w:left="34" w:right="278" w:firstLine="651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第八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本合约的合约月份为最近的三个季月。季月是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1" w:right="278" w:firstLine="65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第九条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本合约的最后交易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日为合约到期月份的第</w:t>
      </w: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个星</w:t>
      </w:r>
      <w:r>
        <w:rPr>
          <w:rFonts w:ascii="FangSong" w:hAnsi="FangSong" w:eastAsia="FangSong" w:cs="FangSong"/>
          <w:sz w:val="31"/>
          <w:szCs w:val="31"/>
          <w:spacing w:val="12"/>
        </w:rPr>
        <w:t>期</w:t>
      </w:r>
      <w:r>
        <w:rPr>
          <w:rFonts w:ascii="FangSong" w:hAnsi="FangSong" w:eastAsia="FangSong" w:cs="FangSong"/>
          <w:sz w:val="31"/>
          <w:szCs w:val="31"/>
          <w:spacing w:val="8"/>
        </w:rPr>
        <w:t>五。最后交易日为国家法定假日或者因异常情况等原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因未交易的，以</w:t>
      </w:r>
      <w:r>
        <w:rPr>
          <w:rFonts w:ascii="FangSong" w:hAnsi="FangSong" w:eastAsia="FangSong" w:cs="FangSong"/>
          <w:sz w:val="31"/>
          <w:szCs w:val="31"/>
        </w:rPr>
        <w:t>下一交易日为最后交易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日。</w:t>
      </w:r>
    </w:p>
    <w:p>
      <w:pPr>
        <w:ind w:left="45" w:right="281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到期</w:t>
      </w:r>
      <w:r>
        <w:rPr>
          <w:rFonts w:ascii="FangSong" w:hAnsi="FangSong" w:eastAsia="FangSong" w:cs="FangSong"/>
          <w:sz w:val="31"/>
          <w:szCs w:val="31"/>
          <w:spacing w:val="-7"/>
        </w:rPr>
        <w:t>合</w:t>
      </w:r>
      <w:r>
        <w:rPr>
          <w:rFonts w:ascii="FangSong" w:hAnsi="FangSong" w:eastAsia="FangSong" w:cs="FangSong"/>
          <w:sz w:val="31"/>
          <w:szCs w:val="31"/>
          <w:spacing w:val="-4"/>
        </w:rPr>
        <w:t>约最后交易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日的下一交易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日，新的月份合约开始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交</w:t>
      </w:r>
      <w:r>
        <w:rPr>
          <w:rFonts w:ascii="FangSong" w:hAnsi="FangSong" w:eastAsia="FangSong" w:cs="FangSong"/>
          <w:sz w:val="31"/>
          <w:szCs w:val="31"/>
          <w:spacing w:val="-4"/>
        </w:rPr>
        <w:t>易。</w:t>
      </w:r>
    </w:p>
    <w:p>
      <w:pPr>
        <w:ind w:left="686"/>
        <w:spacing w:line="11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61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61"/>
        </w:rPr>
        <w:t>条</w:t>
      </w:r>
      <w:r>
        <w:rPr>
          <w:rFonts w:ascii="FangSong" w:hAnsi="FangSong" w:eastAsia="FangSong" w:cs="FangSong"/>
          <w:sz w:val="31"/>
          <w:szCs w:val="31"/>
          <w:spacing w:val="2"/>
          <w:position w:val="6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61"/>
        </w:rPr>
        <w:t>本合约的交易代码为</w:t>
      </w:r>
      <w:r>
        <w:rPr>
          <w:rFonts w:ascii="FangSong" w:hAnsi="FangSong" w:eastAsia="FangSong" w:cs="FangSong"/>
          <w:sz w:val="31"/>
          <w:szCs w:val="31"/>
          <w:spacing w:val="2"/>
          <w:position w:val="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61"/>
        </w:rPr>
        <w:t>TS</w:t>
      </w:r>
      <w:r>
        <w:rPr>
          <w:rFonts w:ascii="FangSong" w:hAnsi="FangSong" w:eastAsia="FangSong" w:cs="FangSong"/>
          <w:sz w:val="31"/>
          <w:szCs w:val="31"/>
          <w:spacing w:val="2"/>
          <w:position w:val="61"/>
        </w:rPr>
        <w:t>。</w:t>
      </w:r>
    </w:p>
    <w:p>
      <w:pPr>
        <w:ind w:left="2913"/>
        <w:spacing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三章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交易业务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0" w:right="278" w:firstLine="636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本合约采用集合竞价、连续竞价和期转现交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易三种交易方式。</w:t>
      </w:r>
    </w:p>
    <w:p>
      <w:pPr>
        <w:ind w:left="42" w:right="274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集合竞</w:t>
      </w:r>
      <w:r>
        <w:rPr>
          <w:rFonts w:ascii="FangSong" w:hAnsi="FangSong" w:eastAsia="FangSong" w:cs="FangSong"/>
          <w:sz w:val="31"/>
          <w:szCs w:val="31"/>
          <w:spacing w:val="1"/>
        </w:rPr>
        <w:t>价时间为每个交易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9:25-9:30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，其中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9:25-9:29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为</w:t>
      </w:r>
      <w:r>
        <w:rPr>
          <w:rFonts w:ascii="FangSong" w:hAnsi="FangSong" w:eastAsia="FangSong" w:cs="FangSong"/>
          <w:sz w:val="31"/>
          <w:szCs w:val="31"/>
          <w:spacing w:val="6"/>
        </w:rPr>
        <w:t>指令申报时间，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9:29-9:30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为指令撮合时间。</w:t>
      </w:r>
    </w:p>
    <w:p>
      <w:pPr>
        <w:ind w:left="51" w:firstLine="617"/>
        <w:spacing w:before="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连续竞价时间为每个交易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9:30-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11:30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第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>13: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0-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15:15</w:t>
      </w:r>
      <w:r>
        <w:rPr>
          <w:rFonts w:ascii="FangSong" w:hAnsi="FangSong" w:eastAsia="FangSong" w:cs="FangSong"/>
          <w:sz w:val="31"/>
          <w:szCs w:val="31"/>
          <w:spacing w:val="-11"/>
        </w:rPr>
        <w:t>(第二节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)，最后交易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日连续竞价时间为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9:30-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11:30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2913"/>
        <w:spacing w:before="101"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四章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结算业务</w:t>
      </w:r>
    </w:p>
    <w:p>
      <w:pPr>
        <w:sectPr>
          <w:footerReference w:type="default" r:id="rId2"/>
          <w:pgSz w:w="11906" w:h="16839"/>
          <w:pgMar w:top="1431" w:right="1521" w:bottom="1211" w:left="1785" w:header="0" w:footer="993" w:gutter="0"/>
        </w:sectPr>
        <w:rPr/>
      </w:pPr>
    </w:p>
    <w:p>
      <w:pPr>
        <w:ind w:left="45" w:right="108" w:firstLine="640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本合约的当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日结算价为合约最后一小时</w:t>
      </w:r>
      <w:r>
        <w:rPr>
          <w:rFonts w:ascii="FangSong" w:hAnsi="FangSong" w:eastAsia="FangSong" w:cs="FangSong"/>
          <w:sz w:val="31"/>
          <w:szCs w:val="31"/>
          <w:spacing w:val="12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交</w:t>
      </w:r>
      <w:r>
        <w:rPr>
          <w:rFonts w:ascii="FangSong" w:hAnsi="FangSong" w:eastAsia="FangSong" w:cs="FangSong"/>
          <w:sz w:val="31"/>
          <w:szCs w:val="31"/>
          <w:spacing w:val="8"/>
        </w:rPr>
        <w:t>价格按照成交量的加权平均价。计算结果保留至小数点后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三</w:t>
      </w:r>
      <w:r>
        <w:rPr>
          <w:rFonts w:ascii="FangSong" w:hAnsi="FangSong" w:eastAsia="FangSong" w:cs="FangSong"/>
          <w:sz w:val="31"/>
          <w:szCs w:val="31"/>
          <w:spacing w:val="-4"/>
        </w:rPr>
        <w:t>位。</w:t>
      </w:r>
    </w:p>
    <w:p>
      <w:pPr>
        <w:ind w:left="686"/>
        <w:spacing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6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2"/>
          <w:position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16"/>
        </w:rPr>
        <w:t>本合约以</w:t>
      </w:r>
      <w:r>
        <w:rPr>
          <w:rFonts w:ascii="FangSong" w:hAnsi="FangSong" w:eastAsia="FangSong" w:cs="FangSong"/>
          <w:sz w:val="31"/>
          <w:szCs w:val="31"/>
          <w:spacing w:val="2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>当</w:t>
      </w: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>日结算价作为计算当</w:t>
      </w: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>日盈亏的</w:t>
      </w:r>
    </w:p>
    <w:p>
      <w:pPr>
        <w:ind w:left="32"/>
        <w:spacing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"/>
        </w:rPr>
        <w:t>依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据。具体计算公式如下：</w:t>
      </w:r>
    </w:p>
    <w:p>
      <w:pPr>
        <w:ind w:left="37" w:right="103" w:firstLine="678"/>
        <w:spacing w:before="10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当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日盈亏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=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6"/>
        </w:rPr>
        <w:t>{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∑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[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6"/>
        </w:rPr>
        <w:t>(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卖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出成交价</w:t>
      </w:r>
      <w:r>
        <w:rPr>
          <w:rFonts w:ascii="FangSong" w:hAnsi="FangSong" w:eastAsia="FangSong" w:cs="FangSong"/>
          <w:sz w:val="28"/>
          <w:szCs w:val="28"/>
          <w:spacing w:val="-16"/>
        </w:rPr>
        <w:t>－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当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日结算价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卖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量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]+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∑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[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当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日结算价</w:t>
      </w:r>
      <w:r>
        <w:rPr>
          <w:rFonts w:ascii="FangSong" w:hAnsi="FangSong" w:eastAsia="FangSong" w:cs="FangSong"/>
          <w:sz w:val="28"/>
          <w:szCs w:val="28"/>
          <w:spacing w:val="-8"/>
        </w:rPr>
        <w:t>－</w:t>
      </w:r>
      <w:r>
        <w:rPr>
          <w:rFonts w:ascii="FangSong" w:hAnsi="FangSong" w:eastAsia="FangSong" w:cs="FangSong"/>
          <w:sz w:val="31"/>
          <w:szCs w:val="31"/>
          <w:spacing w:val="-8"/>
        </w:rPr>
        <w:t>买入成交价)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买入量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]+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(上一交易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结算价</w:t>
      </w:r>
      <w:r>
        <w:rPr>
          <w:rFonts w:ascii="FangSong" w:hAnsi="FangSong" w:eastAsia="FangSong" w:cs="FangSong"/>
          <w:sz w:val="28"/>
          <w:szCs w:val="28"/>
          <w:spacing w:val="-6"/>
        </w:rPr>
        <w:t>－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当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日结算价)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(上一交易日卖出持仓量</w:t>
      </w:r>
      <w:r>
        <w:rPr>
          <w:rFonts w:ascii="FangSong" w:hAnsi="FangSong" w:eastAsia="FangSong" w:cs="FangSong"/>
          <w:sz w:val="28"/>
          <w:szCs w:val="28"/>
          <w:spacing w:val="-3"/>
        </w:rPr>
        <w:t>－</w:t>
      </w:r>
      <w:r>
        <w:rPr>
          <w:rFonts w:ascii="FangSong" w:hAnsi="FangSong" w:eastAsia="FangSong" w:cs="FangSong"/>
          <w:sz w:val="31"/>
          <w:szCs w:val="31"/>
          <w:spacing w:val="-3"/>
        </w:rPr>
        <w:t>上一交易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日</w:t>
      </w:r>
      <w:r>
        <w:rPr>
          <w:rFonts w:ascii="FangSong" w:hAnsi="FangSong" w:eastAsia="FangSong" w:cs="FangSong"/>
          <w:sz w:val="31"/>
          <w:szCs w:val="31"/>
          <w:spacing w:val="6"/>
        </w:rPr>
        <w:t>买入持仓量)}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(合约面值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/100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</w:p>
    <w:p>
      <w:pPr>
        <w:ind w:left="686" w:right="45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四条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本合约的手续费标准为每手不高于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十五条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本合约采用实物交割方式。</w:t>
      </w:r>
    </w:p>
    <w:p>
      <w:pPr>
        <w:ind w:left="29" w:right="110" w:firstLine="657"/>
        <w:spacing w:before="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本合约的交割按照《中国金融期货交易所国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债</w:t>
      </w:r>
      <w:r>
        <w:rPr>
          <w:rFonts w:ascii="FangSong" w:hAnsi="FangSong" w:eastAsia="FangSong" w:cs="FangSong"/>
          <w:sz w:val="31"/>
          <w:szCs w:val="31"/>
          <w:spacing w:val="9"/>
        </w:rPr>
        <w:t>期</w:t>
      </w:r>
      <w:r>
        <w:rPr>
          <w:rFonts w:ascii="FangSong" w:hAnsi="FangSong" w:eastAsia="FangSong" w:cs="FangSong"/>
          <w:sz w:val="31"/>
          <w:szCs w:val="31"/>
          <w:spacing w:val="8"/>
        </w:rPr>
        <w:t>货合约交割细则》的相关规定执行。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2994"/>
        <w:spacing w:before="101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五章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风险管理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61" w:firstLine="624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第十七条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本合约的最低交易保证金标准为合约价</w:t>
      </w:r>
      <w:r>
        <w:rPr>
          <w:rFonts w:ascii="FangSong" w:hAnsi="FangSong" w:eastAsia="FangSong" w:cs="FangSong"/>
          <w:sz w:val="31"/>
          <w:szCs w:val="31"/>
          <w:spacing w:val="20"/>
        </w:rPr>
        <w:t>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0.5%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。其中，合约价值＝合约价格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(合约面值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/100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元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)。</w:t>
      </w:r>
    </w:p>
    <w:p>
      <w:pPr>
        <w:ind w:left="62" w:right="108" w:firstLine="62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第十八条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本合约自交割月份之前的两个交易日结</w:t>
      </w:r>
      <w:r>
        <w:rPr>
          <w:rFonts w:ascii="FangSong" w:hAnsi="FangSong" w:eastAsia="FangSong" w:cs="FangSong"/>
          <w:sz w:val="31"/>
          <w:szCs w:val="31"/>
          <w:spacing w:val="20"/>
        </w:rPr>
        <w:t>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时起，交</w:t>
      </w:r>
      <w:r>
        <w:rPr>
          <w:rFonts w:ascii="FangSong" w:hAnsi="FangSong" w:eastAsia="FangSong" w:cs="FangSong"/>
          <w:sz w:val="31"/>
          <w:szCs w:val="31"/>
          <w:spacing w:val="2"/>
        </w:rPr>
        <w:t>易保证金标准为合约价值的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86"/>
        <w:spacing w:line="5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  <w:position w:val="13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21"/>
          <w:position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  <w:position w:val="13"/>
        </w:rPr>
        <w:t>本合约的每日价格最大波动限制是指其</w:t>
      </w:r>
      <w:r>
        <w:rPr>
          <w:rFonts w:ascii="FangSong" w:hAnsi="FangSong" w:eastAsia="FangSong" w:cs="FangSong"/>
          <w:sz w:val="31"/>
          <w:szCs w:val="31"/>
          <w:spacing w:val="20"/>
          <w:position w:val="13"/>
        </w:rPr>
        <w:t>每</w:t>
      </w:r>
    </w:p>
    <w:p>
      <w:pPr>
        <w:ind w:left="105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价格涨跌停板幅度，为上一交易日结算价的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±0.5%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。</w:t>
      </w:r>
    </w:p>
    <w:p>
      <w:pPr>
        <w:ind w:left="38" w:right="108" w:firstLine="634"/>
        <w:spacing w:before="14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合</w:t>
      </w:r>
      <w:r>
        <w:rPr>
          <w:rFonts w:ascii="FangSong" w:hAnsi="FangSong" w:eastAsia="FangSong" w:cs="FangSong"/>
          <w:sz w:val="31"/>
          <w:szCs w:val="31"/>
          <w:spacing w:val="9"/>
        </w:rPr>
        <w:t>约</w:t>
      </w:r>
      <w:r>
        <w:rPr>
          <w:rFonts w:ascii="FangSong" w:hAnsi="FangSong" w:eastAsia="FangSong" w:cs="FangSong"/>
          <w:sz w:val="31"/>
          <w:szCs w:val="31"/>
          <w:spacing w:val="6"/>
        </w:rPr>
        <w:t>上市首日涨跌停板幅度为挂盘基准价的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±1%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。上市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日有</w:t>
      </w:r>
      <w:r>
        <w:rPr>
          <w:rFonts w:ascii="FangSong" w:hAnsi="FangSong" w:eastAsia="FangSong" w:cs="FangSong"/>
          <w:sz w:val="31"/>
          <w:szCs w:val="31"/>
          <w:spacing w:val="3"/>
        </w:rPr>
        <w:t>成</w:t>
      </w:r>
      <w:r>
        <w:rPr>
          <w:rFonts w:ascii="FangSong" w:hAnsi="FangSong" w:eastAsia="FangSong" w:cs="FangSong"/>
          <w:sz w:val="31"/>
          <w:szCs w:val="31"/>
          <w:spacing w:val="2"/>
        </w:rPr>
        <w:t>交的，于下一交易日恢复到合约规定的涨跌停板幅</w:t>
      </w:r>
    </w:p>
    <w:p>
      <w:pPr>
        <w:sectPr>
          <w:footerReference w:type="default" r:id="rId3"/>
          <w:pgSz w:w="11906" w:h="16839"/>
          <w:pgMar w:top="1431" w:right="1691" w:bottom="1211" w:left="1785" w:header="0" w:footer="993" w:gutter="0"/>
        </w:sectPr>
        <w:rPr/>
      </w:pPr>
    </w:p>
    <w:p>
      <w:pPr>
        <w:ind w:left="36" w:right="117" w:hanging="7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度；上市首日无成交的，下一交易日继续执行前一交易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涨</w:t>
      </w:r>
      <w:r>
        <w:rPr>
          <w:rFonts w:ascii="FangSong" w:hAnsi="FangSong" w:eastAsia="FangSong" w:cs="FangSong"/>
          <w:sz w:val="31"/>
          <w:szCs w:val="31"/>
          <w:spacing w:val="13"/>
        </w:rPr>
        <w:t>跌</w:t>
      </w:r>
      <w:r>
        <w:rPr>
          <w:rFonts w:ascii="FangSong" w:hAnsi="FangSong" w:eastAsia="FangSong" w:cs="FangSong"/>
          <w:sz w:val="31"/>
          <w:szCs w:val="31"/>
          <w:spacing w:val="8"/>
        </w:rPr>
        <w:t>停板幅度。如上市首日连续三个交易日无成交的，交易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所</w:t>
      </w:r>
      <w:r>
        <w:rPr>
          <w:rFonts w:ascii="FangSong" w:hAnsi="FangSong" w:eastAsia="FangSong" w:cs="FangSong"/>
          <w:sz w:val="31"/>
          <w:szCs w:val="31"/>
          <w:spacing w:val="10"/>
        </w:rPr>
        <w:t>可</w:t>
      </w:r>
      <w:r>
        <w:rPr>
          <w:rFonts w:ascii="FangSong" w:hAnsi="FangSong" w:eastAsia="FangSong" w:cs="FangSong"/>
          <w:sz w:val="31"/>
          <w:szCs w:val="31"/>
          <w:spacing w:val="7"/>
        </w:rPr>
        <w:t>以对挂盘基准价作适当调整。</w:t>
      </w:r>
    </w:p>
    <w:p>
      <w:pPr>
        <w:ind w:left="686"/>
        <w:spacing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二十条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本合约实行持仓限额制度。</w:t>
      </w:r>
    </w:p>
    <w:p>
      <w:pPr>
        <w:ind w:left="41" w:right="117" w:firstLine="520"/>
        <w:spacing w:before="14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客户某一合约在不同阶段的单边持仓限额规定如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下</w:t>
      </w:r>
      <w:r>
        <w:rPr>
          <w:rFonts w:ascii="FangSong" w:hAnsi="FangSong" w:eastAsia="FangSong" w:cs="FangSong"/>
          <w:sz w:val="31"/>
          <w:szCs w:val="31"/>
          <w:spacing w:val="-9"/>
        </w:rPr>
        <w:t>：</w:t>
      </w:r>
    </w:p>
    <w:p>
      <w:pPr>
        <w:ind w:left="692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合</w:t>
      </w:r>
      <w:r>
        <w:rPr>
          <w:rFonts w:ascii="FangSong" w:hAnsi="FangSong" w:eastAsia="FangSong" w:cs="FangSong"/>
          <w:sz w:val="31"/>
          <w:szCs w:val="31"/>
          <w:spacing w:val="-5"/>
          <w:position w:val="1"/>
        </w:rPr>
        <w:t>约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上市首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日起，持仓限额为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手；</w:t>
      </w:r>
    </w:p>
    <w:p>
      <w:pPr>
        <w:ind w:left="661"/>
        <w:spacing w:before="146"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交割月份之前的一个交易日起，持仓限额为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600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手</w:t>
      </w:r>
      <w:r>
        <w:rPr>
          <w:rFonts w:ascii="FangSong" w:hAnsi="FangSong" w:eastAsia="FangSong" w:cs="FangSong"/>
          <w:sz w:val="31"/>
          <w:szCs w:val="31"/>
          <w:position w:val="1"/>
        </w:rPr>
        <w:t>。</w:t>
      </w:r>
    </w:p>
    <w:p>
      <w:pPr>
        <w:ind w:left="61" w:right="118" w:firstLine="584"/>
        <w:spacing w:before="14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非期货公司会员某一合约在不同阶段的单边持</w:t>
      </w:r>
      <w:r>
        <w:rPr>
          <w:rFonts w:ascii="FangSong" w:hAnsi="FangSong" w:eastAsia="FangSong" w:cs="FangSong"/>
          <w:sz w:val="31"/>
          <w:szCs w:val="31"/>
          <w:spacing w:val="1"/>
        </w:rPr>
        <w:t>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限额规定如</w:t>
      </w:r>
      <w:r>
        <w:rPr>
          <w:rFonts w:ascii="FangSong" w:hAnsi="FangSong" w:eastAsia="FangSong" w:cs="FangSong"/>
          <w:sz w:val="31"/>
          <w:szCs w:val="31"/>
          <w:spacing w:val="1"/>
        </w:rPr>
        <w:t>下：</w:t>
      </w:r>
    </w:p>
    <w:p>
      <w:pPr>
        <w:ind w:left="692"/>
        <w:spacing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合</w:t>
      </w:r>
      <w:r>
        <w:rPr>
          <w:rFonts w:ascii="FangSong" w:hAnsi="FangSong" w:eastAsia="FangSong" w:cs="FangSong"/>
          <w:sz w:val="31"/>
          <w:szCs w:val="31"/>
          <w:spacing w:val="-5"/>
          <w:position w:val="1"/>
        </w:rPr>
        <w:t>约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上市首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日起，持仓限额为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>4000</w:t>
      </w: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手；</w:t>
      </w:r>
    </w:p>
    <w:p>
      <w:pPr>
        <w:ind w:left="661"/>
        <w:spacing w:before="145"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交割月份之前的一个交易日起，持仓限额为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"/>
        </w:rPr>
        <w:t>手。</w:t>
      </w:r>
    </w:p>
    <w:p>
      <w:pPr>
        <w:ind w:left="26" w:right="120" w:firstLine="619"/>
        <w:spacing w:before="14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某一合约结算后单边总持仓量超过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万手的，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结</w:t>
      </w:r>
      <w:r>
        <w:rPr>
          <w:rFonts w:ascii="FangSong" w:hAnsi="FangSong" w:eastAsia="FangSong" w:cs="FangSong"/>
          <w:sz w:val="31"/>
          <w:szCs w:val="31"/>
          <w:spacing w:val="21"/>
        </w:rPr>
        <w:t>算会员下一交易日该合约单边持仓量不得超过该合约单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边总持仓量的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25%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7" w:right="117" w:firstLine="630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进</w:t>
      </w:r>
      <w:r>
        <w:rPr>
          <w:rFonts w:ascii="FangSong" w:hAnsi="FangSong" w:eastAsia="FangSong" w:cs="FangSong"/>
          <w:sz w:val="31"/>
          <w:szCs w:val="31"/>
          <w:spacing w:val="22"/>
        </w:rPr>
        <w:t>行套期保值交易和套利交易的持仓按照交易所有关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规定执行。</w:t>
      </w:r>
    </w:p>
    <w:p>
      <w:pPr>
        <w:ind w:left="686"/>
        <w:spacing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一条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本合约实行大户持仓报告制度。</w:t>
      </w:r>
    </w:p>
    <w:p>
      <w:pPr>
        <w:ind w:left="36" w:right="117" w:firstLine="614"/>
        <w:spacing w:before="14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达到下列</w:t>
      </w:r>
      <w:r>
        <w:rPr>
          <w:rFonts w:ascii="FangSong" w:hAnsi="FangSong" w:eastAsia="FangSong" w:cs="FangSong"/>
          <w:sz w:val="31"/>
          <w:szCs w:val="31"/>
          <w:spacing w:val="2"/>
        </w:rPr>
        <w:t>标准之一的，客户或者会员应当向交易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所履行报告义务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ind w:left="31" w:right="120" w:firstLine="665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单个非期货公司会员、客户国债期货某一合约单</w:t>
      </w:r>
      <w:r>
        <w:rPr>
          <w:rFonts w:ascii="FangSong" w:hAnsi="FangSong" w:eastAsia="FangSong" w:cs="FangSong"/>
          <w:sz w:val="31"/>
          <w:szCs w:val="31"/>
          <w:spacing w:val="3"/>
        </w:rPr>
        <w:t>边</w:t>
      </w:r>
      <w:r>
        <w:rPr>
          <w:rFonts w:ascii="FangSong" w:hAnsi="FangSong" w:eastAsia="FangSong" w:cs="FangSong"/>
          <w:sz w:val="31"/>
          <w:szCs w:val="31"/>
        </w:rPr>
        <w:t>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(进行套期保值交易和套利交易的持仓除外)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达到交易所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规定的持仓限额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80%</w:t>
      </w:r>
      <w:r>
        <w:rPr>
          <w:rFonts w:ascii="FangSong" w:hAnsi="FangSong" w:eastAsia="FangSong" w:cs="FangSong"/>
          <w:sz w:val="31"/>
          <w:szCs w:val="31"/>
          <w:spacing w:val="2"/>
        </w:rPr>
        <w:t>以上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的；</w:t>
      </w:r>
    </w:p>
    <w:p>
      <w:pPr>
        <w:ind w:left="666"/>
        <w:spacing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当全市场单边总持仓达到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万手时，单个非期货公</w:t>
      </w:r>
      <w:r>
        <w:rPr>
          <w:rFonts w:ascii="FangSong" w:hAnsi="FangSong" w:eastAsia="FangSong" w:cs="FangSong"/>
          <w:sz w:val="31"/>
          <w:szCs w:val="31"/>
          <w:position w:val="1"/>
        </w:rPr>
        <w:t>司</w:t>
      </w:r>
    </w:p>
    <w:p>
      <w:pPr>
        <w:sectPr>
          <w:footerReference w:type="default" r:id="rId4"/>
          <w:pgSz w:w="11906" w:h="16839"/>
          <w:pgMar w:top="1431" w:right="1681" w:bottom="1209" w:left="1785" w:header="0" w:footer="993" w:gutter="0"/>
        </w:sectPr>
        <w:rPr/>
      </w:pPr>
    </w:p>
    <w:p>
      <w:pPr>
        <w:ind w:left="29" w:right="16" w:firstLine="2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会</w:t>
      </w:r>
      <w:r>
        <w:rPr>
          <w:rFonts w:ascii="FangSong" w:hAnsi="FangSong" w:eastAsia="FangSong" w:cs="FangSong"/>
          <w:sz w:val="31"/>
          <w:szCs w:val="31"/>
          <w:spacing w:val="21"/>
        </w:rPr>
        <w:t>员、客户国债期货单边总持仓占市场单边总持仓量超过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%</w:t>
      </w:r>
      <w:r>
        <w:rPr>
          <w:rFonts w:ascii="FangSong" w:hAnsi="FangSong" w:eastAsia="FangSong" w:cs="FangSong"/>
          <w:sz w:val="31"/>
          <w:szCs w:val="31"/>
          <w:spacing w:val="1"/>
        </w:rPr>
        <w:t>的。</w:t>
      </w:r>
    </w:p>
    <w:p>
      <w:pPr>
        <w:ind w:left="36" w:right="13" w:firstLine="61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达到下列</w:t>
      </w:r>
      <w:r>
        <w:rPr>
          <w:rFonts w:ascii="FangSong" w:hAnsi="FangSong" w:eastAsia="FangSong" w:cs="FangSong"/>
          <w:sz w:val="31"/>
          <w:szCs w:val="31"/>
          <w:spacing w:val="2"/>
        </w:rPr>
        <w:t>标准之一的，交易所可以要求相关客户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或者会员履行报告义务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</w:p>
    <w:p>
      <w:pPr>
        <w:ind w:left="46" w:right="14" w:firstLine="650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名非期货公司会员、客户国债期货单边总持仓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市场单</w:t>
      </w:r>
      <w:r>
        <w:rPr>
          <w:rFonts w:ascii="FangSong" w:hAnsi="FangSong" w:eastAsia="FangSong" w:cs="FangSong"/>
          <w:sz w:val="31"/>
          <w:szCs w:val="31"/>
          <w:spacing w:val="1"/>
        </w:rPr>
        <w:t>边总持仓量超过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10%</w:t>
      </w:r>
      <w:r>
        <w:rPr>
          <w:rFonts w:ascii="FangSong" w:hAnsi="FangSong" w:eastAsia="FangSong" w:cs="FangSong"/>
          <w:sz w:val="31"/>
          <w:szCs w:val="31"/>
          <w:spacing w:val="1"/>
        </w:rPr>
        <w:t>的；</w:t>
      </w:r>
    </w:p>
    <w:p>
      <w:pPr>
        <w:ind w:left="92" w:right="16" w:firstLine="57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名非期货公司会员、客户国债期货单边总持仓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1"/>
        </w:rPr>
        <w:t>市场单边总持仓量超过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20%</w:t>
      </w:r>
      <w:r>
        <w:rPr>
          <w:rFonts w:ascii="FangSong" w:hAnsi="FangSong" w:eastAsia="FangSong" w:cs="FangSong"/>
          <w:sz w:val="31"/>
          <w:szCs w:val="31"/>
          <w:spacing w:val="-1"/>
        </w:rPr>
        <w:t>的；</w:t>
      </w:r>
    </w:p>
    <w:p>
      <w:pPr>
        <w:ind w:left="667"/>
        <w:spacing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交易所要求报告的其他情形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3234"/>
        <w:spacing w:before="102"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章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附则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2" w:right="13" w:firstLine="633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违反本细则规定的，交易所按照《中国金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融期</w:t>
      </w:r>
      <w:r>
        <w:rPr>
          <w:rFonts w:ascii="FangSong" w:hAnsi="FangSong" w:eastAsia="FangSong" w:cs="FangSong"/>
          <w:sz w:val="31"/>
          <w:szCs w:val="31"/>
          <w:spacing w:val="10"/>
        </w:rPr>
        <w:t>货</w:t>
      </w:r>
      <w:r>
        <w:rPr>
          <w:rFonts w:ascii="FangSong" w:hAnsi="FangSong" w:eastAsia="FangSong" w:cs="FangSong"/>
          <w:sz w:val="31"/>
          <w:szCs w:val="31"/>
          <w:spacing w:val="7"/>
        </w:rPr>
        <w:t>交易所违规违约处理办法》有关规定处理。</w:t>
      </w:r>
    </w:p>
    <w:p>
      <w:pPr>
        <w:ind w:left="686"/>
        <w:spacing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十三条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本细则由交易所负责解释。</w:t>
      </w:r>
    </w:p>
    <w:p>
      <w:pPr>
        <w:ind w:left="686"/>
        <w:spacing w:before="111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"/>
        </w:rPr>
        <w:t>第二十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"/>
        </w:rPr>
        <w:t>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"/>
        </w:rPr>
        <w:t>条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本细则自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日起实施。</w:t>
      </w:r>
    </w:p>
    <w:sectPr>
      <w:footerReference w:type="default" r:id="rId5"/>
      <w:pgSz w:w="11906" w:h="16839"/>
      <w:pgMar w:top="1431" w:right="1785" w:bottom="1209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3"/>
      <w:spacing w:line="18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6"/>
      <w:spacing w:before="1" w:line="179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9"/>
      <w:spacing w:before="1" w:line="179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8"/>
      <w:spacing w:before="1" w:line="177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2"/>
      <w:spacing w:before="1" w:line="177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lirc</dc:creator>
  <dcterms:created xsi:type="dcterms:W3CDTF">2023-10-19T14:54:20Z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2023-10-23T09:28:13</vt:filetime>
  </op:property>
</op:Properties>
</file>