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90"/>
        <w:spacing w:before="385" w:line="20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4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年期国债期货合约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50"/>
        <w:gridCol w:w="5971"/>
      </w:tblGrid>
      <w:tr>
        <w:trPr>
          <w:trHeight w:val="1129" w:hRule="atLeast"/>
        </w:trPr>
        <w:tc>
          <w:tcPr>
            <w:shd w:val="clear" w:fill="E7E6E6"/>
            <w:tcW w:w="255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650"/>
              <w:spacing w:before="101" w:line="41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合约标的</w:t>
            </w:r>
          </w:p>
        </w:tc>
        <w:tc>
          <w:tcPr>
            <w:tcW w:w="5971" w:type="dxa"/>
            <w:vAlign w:val="top"/>
          </w:tcPr>
          <w:p>
            <w:pPr>
              <w:ind w:left="199"/>
              <w:spacing w:before="131" w:line="599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16"/>
              </w:rPr>
              <w:t>面值为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  <w:position w:val="16"/>
              </w:rPr>
              <w:t>200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16"/>
              </w:rPr>
              <w:t>万元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人民币、票面利率为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>3%</w:t>
            </w:r>
          </w:p>
          <w:p>
            <w:pPr>
              <w:ind w:left="1747"/>
              <w:spacing w:line="23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的名义中短期国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债</w:t>
            </w:r>
          </w:p>
        </w:tc>
      </w:tr>
      <w:tr>
        <w:trPr>
          <w:trHeight w:val="1124" w:hRule="atLeast"/>
        </w:trPr>
        <w:tc>
          <w:tcPr>
            <w:shd w:val="clear" w:fill="E7E6E6"/>
            <w:tcW w:w="255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500"/>
              <w:spacing w:before="101" w:line="412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可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  <w:position w:val="1"/>
              </w:rPr>
              <w:t>交割国债</w:t>
            </w:r>
          </w:p>
        </w:tc>
        <w:tc>
          <w:tcPr>
            <w:tcW w:w="5971" w:type="dxa"/>
            <w:vAlign w:val="top"/>
          </w:tcPr>
          <w:p>
            <w:pPr>
              <w:ind w:left="124"/>
              <w:spacing w:before="167" w:line="560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  <w:position w:val="16"/>
              </w:rPr>
              <w:t>发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行期限不高于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>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年，合约到期月份首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日</w:t>
            </w:r>
          </w:p>
          <w:p>
            <w:pPr>
              <w:ind w:left="153"/>
              <w:spacing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剩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余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期限为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1.5-2.25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年的记账式附息国债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653"/>
              <w:spacing w:before="183" w:line="410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报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1"/>
              </w:rPr>
              <w:t>价方式</w:t>
            </w:r>
          </w:p>
        </w:tc>
        <w:tc>
          <w:tcPr>
            <w:tcW w:w="5971" w:type="dxa"/>
            <w:vAlign w:val="top"/>
          </w:tcPr>
          <w:p>
            <w:pPr>
              <w:ind w:left="2058"/>
              <w:spacing w:before="183" w:line="410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  <w:position w:val="1"/>
              </w:rPr>
              <w:t>百元净价报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  <w:position w:val="1"/>
              </w:rPr>
              <w:t>价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334"/>
              <w:spacing w:before="183" w:line="40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  <w:position w:val="1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小变动价位</w:t>
            </w:r>
          </w:p>
        </w:tc>
        <w:tc>
          <w:tcPr>
            <w:tcW w:w="5971" w:type="dxa"/>
            <w:vAlign w:val="top"/>
          </w:tcPr>
          <w:p>
            <w:pPr>
              <w:ind w:left="2432"/>
              <w:spacing w:before="218" w:line="19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9"/>
              </w:rPr>
              <w:t>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.002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元</w:t>
            </w:r>
          </w:p>
        </w:tc>
      </w:tr>
      <w:tr>
        <w:trPr>
          <w:trHeight w:val="1124" w:hRule="atLeast"/>
        </w:trPr>
        <w:tc>
          <w:tcPr>
            <w:shd w:val="clear" w:fill="E7E6E6"/>
            <w:tcW w:w="255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650"/>
              <w:spacing w:before="101" w:line="414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合约月份</w:t>
            </w:r>
          </w:p>
        </w:tc>
        <w:tc>
          <w:tcPr>
            <w:tcW w:w="5971" w:type="dxa"/>
            <w:vAlign w:val="top"/>
          </w:tcPr>
          <w:p>
            <w:pPr>
              <w:ind w:left="247"/>
              <w:spacing w:before="168" w:line="559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16"/>
              </w:rPr>
              <w:t>最近的三个季月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  <w:position w:val="16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月、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>6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月、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>9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6"/>
              </w:rPr>
              <w:t>月、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6"/>
              </w:rPr>
              <w:t>12</w:t>
            </w:r>
          </w:p>
          <w:p>
            <w:pPr>
              <w:ind w:left="1250"/>
              <w:spacing w:line="23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月中的最近三个月循环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)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662"/>
              <w:spacing w:before="184" w:line="408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1"/>
              </w:rPr>
              <w:t>交易时间</w:t>
            </w:r>
          </w:p>
        </w:tc>
        <w:tc>
          <w:tcPr>
            <w:tcW w:w="5971" w:type="dxa"/>
            <w:vAlign w:val="top"/>
          </w:tcPr>
          <w:p>
            <w:pPr>
              <w:ind w:left="1358"/>
              <w:spacing w:before="247" w:line="193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2"/>
              </w:rPr>
              <w:t>9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: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30-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11:30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，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13:00-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15:15</w:t>
            </w:r>
          </w:p>
        </w:tc>
      </w:tr>
      <w:tr>
        <w:trPr>
          <w:trHeight w:val="1124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495"/>
              <w:spacing w:before="169" w:line="55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  <w:position w:val="16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  <w:position w:val="16"/>
              </w:rPr>
              <w:t>后交易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  <w:position w:val="1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  <w:position w:val="16"/>
              </w:rPr>
              <w:t>日</w:t>
            </w:r>
          </w:p>
          <w:p>
            <w:pPr>
              <w:ind w:left="662"/>
              <w:spacing w:line="23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交易时间</w:t>
            </w:r>
          </w:p>
        </w:tc>
        <w:tc>
          <w:tcPr>
            <w:tcW w:w="5971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ind w:left="2298"/>
              <w:spacing w:before="89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0"/>
              </w:rPr>
              <w:t>9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6"/>
              </w:rPr>
              <w:t>: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5"/>
              </w:rPr>
              <w:t>30-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5"/>
              </w:rPr>
              <w:t>11:30</w:t>
            </w:r>
          </w:p>
        </w:tc>
      </w:tr>
      <w:tr>
        <w:trPr>
          <w:trHeight w:val="1124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643"/>
              <w:spacing w:before="170" w:line="560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6"/>
              </w:rPr>
              <w:t>每日价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6"/>
              </w:rPr>
              <w:t>格</w:t>
            </w:r>
          </w:p>
          <w:p>
            <w:pPr>
              <w:ind w:left="334"/>
              <w:spacing w:before="1" w:line="23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大波动限制</w:t>
            </w:r>
          </w:p>
        </w:tc>
        <w:tc>
          <w:tcPr>
            <w:tcW w:w="597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144"/>
              <w:spacing w:before="101" w:line="418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2"/>
                <w:position w:val="1"/>
              </w:rPr>
              <w:t>上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  <w:position w:val="1"/>
              </w:rPr>
              <w:t>一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  <w:position w:val="1"/>
              </w:rPr>
              <w:t>交易日结算价的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  <w:position w:val="1"/>
              </w:rPr>
              <w:t>±0.5%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173"/>
              <w:spacing w:before="186" w:line="24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低交易保证金</w:t>
            </w:r>
          </w:p>
        </w:tc>
        <w:tc>
          <w:tcPr>
            <w:tcW w:w="5971" w:type="dxa"/>
            <w:vAlign w:val="top"/>
          </w:tcPr>
          <w:p>
            <w:pPr>
              <w:ind w:left="1827"/>
              <w:spacing w:before="147" w:line="418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  <w:position w:val="1"/>
              </w:rPr>
              <w:t>合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  <w:position w:val="1"/>
              </w:rPr>
              <w:t>约价值的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"/>
                <w:position w:val="1"/>
              </w:rPr>
              <w:t>0.5%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495"/>
              <w:spacing w:before="186" w:line="24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后交易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日</w:t>
            </w:r>
          </w:p>
        </w:tc>
        <w:tc>
          <w:tcPr>
            <w:tcW w:w="5971" w:type="dxa"/>
            <w:vAlign w:val="top"/>
          </w:tcPr>
          <w:p>
            <w:pPr>
              <w:ind w:left="920"/>
              <w:spacing w:before="186" w:line="24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合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约到期月份的第二个星期五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495"/>
              <w:spacing w:before="186" w:line="24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后交割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日</w:t>
            </w:r>
          </w:p>
        </w:tc>
        <w:tc>
          <w:tcPr>
            <w:tcW w:w="5971" w:type="dxa"/>
            <w:vAlign w:val="top"/>
          </w:tcPr>
          <w:p>
            <w:pPr>
              <w:ind w:left="926"/>
              <w:spacing w:before="186" w:line="24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最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后交易日后的第三个交易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日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662"/>
              <w:spacing w:before="185" w:line="407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1"/>
              </w:rPr>
              <w:t>交割方式</w:t>
            </w:r>
          </w:p>
        </w:tc>
        <w:tc>
          <w:tcPr>
            <w:tcW w:w="5971" w:type="dxa"/>
            <w:vAlign w:val="top"/>
          </w:tcPr>
          <w:p>
            <w:pPr>
              <w:ind w:left="2374"/>
              <w:spacing w:before="185" w:line="407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  <w:position w:val="1"/>
              </w:rPr>
              <w:t>实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  <w:position w:val="1"/>
              </w:rPr>
              <w:t>物交割</w:t>
            </w:r>
          </w:p>
        </w:tc>
      </w:tr>
      <w:tr>
        <w:trPr>
          <w:trHeight w:val="593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662"/>
              <w:spacing w:before="185" w:line="407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1"/>
              </w:rPr>
              <w:t>交易代码</w:t>
            </w:r>
          </w:p>
        </w:tc>
        <w:tc>
          <w:tcPr>
            <w:tcW w:w="5971" w:type="dxa"/>
            <w:vAlign w:val="top"/>
          </w:tcPr>
          <w:p>
            <w:pPr>
              <w:ind w:left="2804"/>
              <w:spacing w:before="248" w:line="193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TS</w:t>
            </w:r>
          </w:p>
        </w:tc>
      </w:tr>
      <w:tr>
        <w:trPr>
          <w:trHeight w:val="597" w:hRule="atLeast"/>
        </w:trPr>
        <w:tc>
          <w:tcPr>
            <w:shd w:val="clear" w:fill="E7E6E6"/>
            <w:tcW w:w="2550" w:type="dxa"/>
            <w:vAlign w:val="top"/>
          </w:tcPr>
          <w:p>
            <w:pPr>
              <w:ind w:left="495"/>
              <w:spacing w:before="184" w:line="413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上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1"/>
              </w:rPr>
              <w:t>市交易所</w:t>
            </w:r>
          </w:p>
        </w:tc>
        <w:tc>
          <w:tcPr>
            <w:tcW w:w="5971" w:type="dxa"/>
            <w:vAlign w:val="top"/>
          </w:tcPr>
          <w:p>
            <w:pPr>
              <w:ind w:left="1603"/>
              <w:spacing w:before="184" w:line="413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  <w:position w:val="1"/>
              </w:rPr>
              <w:t>中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  <w:position w:val="1"/>
              </w:rPr>
              <w:t>国金融期货交易所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690" w:bottom="1212" w:left="1689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9"/>
      <w:spacing w:line="18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lirc</dc:creator>
  <dcterms:created xsi:type="dcterms:W3CDTF">2023-09-18T10:41:19Z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2023-10-23T09:27:58</vt:filetime>
  </op:property>
</op:Properties>
</file>