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833"/>
        <w:spacing w:before="140" w:line="575" w:lineRule="exact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2"/>
          <w:position w:val="2"/>
        </w:rPr>
        <w:t>中证</w:t>
      </w:r>
      <w:r>
        <w:rPr>
          <w:rFonts w:ascii="SimHei" w:hAnsi="SimHei" w:eastAsia="SimHei" w:cs="SimHei"/>
          <w:sz w:val="43"/>
          <w:szCs w:val="43"/>
          <w:spacing w:val="-43"/>
          <w:position w:val="2"/>
        </w:rPr>
        <w:t> </w:t>
      </w:r>
      <w:r>
        <w:rPr>
          <w:rFonts w:ascii="Times New Roman" w:hAnsi="Times New Roman" w:eastAsia="Times New Roman" w:cs="Times New Roman"/>
          <w:sz w:val="43"/>
          <w:szCs w:val="43"/>
          <w:spacing w:val="-2"/>
          <w:position w:val="2"/>
        </w:rPr>
        <w:t>1000</w:t>
      </w:r>
      <w:r>
        <w:rPr>
          <w:rFonts w:ascii="Times New Roman" w:hAnsi="Times New Roman" w:eastAsia="Times New Roman" w:cs="Times New Roman"/>
          <w:sz w:val="43"/>
          <w:szCs w:val="43"/>
          <w:spacing w:val="16"/>
          <w:position w:val="2"/>
        </w:rPr>
        <w:t> </w:t>
      </w:r>
      <w:r>
        <w:rPr>
          <w:rFonts w:ascii="SimHei" w:hAnsi="SimHei" w:eastAsia="SimHei" w:cs="SimHei"/>
          <w:sz w:val="43"/>
          <w:szCs w:val="43"/>
          <w:spacing w:val="-2"/>
          <w:position w:val="2"/>
        </w:rPr>
        <w:t>股指期权合约</w:t>
      </w:r>
    </w:p>
    <w:p>
      <w:pPr>
        <w:rPr/>
      </w:pPr>
      <w:r/>
    </w:p>
    <w:p>
      <w:pPr>
        <w:rPr/>
      </w:pPr>
      <w:r/>
    </w:p>
    <w:p>
      <w:pPr>
        <w:spacing w:line="54" w:lineRule="exact"/>
        <w:rPr/>
      </w:pPr>
      <w:r/>
    </w:p>
    <w:tbl>
      <w:tblPr>
        <w:tblStyle w:val="2"/>
        <w:tblW w:w="8526" w:type="dxa"/>
        <w:tblInd w:w="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36"/>
        <w:gridCol w:w="6190"/>
      </w:tblGrid>
      <w:tr>
        <w:trPr>
          <w:trHeight w:val="569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394"/>
              <w:spacing w:before="180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合约标的物</w:t>
            </w:r>
          </w:p>
        </w:tc>
        <w:tc>
          <w:tcPr>
            <w:tcW w:w="6190" w:type="dxa"/>
            <w:vAlign w:val="top"/>
          </w:tcPr>
          <w:p>
            <w:pPr>
              <w:ind w:firstLine="2113"/>
              <w:spacing w:before="179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中证</w:t>
            </w:r>
            <w:r>
              <w:rPr>
                <w:rFonts w:ascii="FangSong" w:hAnsi="FangSong" w:eastAsia="FangSong" w:cs="FangSong"/>
                <w:sz w:val="31"/>
                <w:szCs w:val="31"/>
                <w:spacing w:val="-31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9"/>
              </w:rPr>
              <w:t>1000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6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指数</w:t>
            </w:r>
          </w:p>
        </w:tc>
      </w:tr>
      <w:tr>
        <w:trPr>
          <w:trHeight w:val="565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552"/>
              <w:spacing w:before="174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合约乘数</w:t>
            </w:r>
          </w:p>
        </w:tc>
        <w:tc>
          <w:tcPr>
            <w:tcW w:w="6190" w:type="dxa"/>
            <w:vAlign w:val="top"/>
          </w:tcPr>
          <w:p>
            <w:pPr>
              <w:ind w:firstLine="1843"/>
              <w:spacing w:before="174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每点人民币</w:t>
            </w:r>
            <w:r>
              <w:rPr>
                <w:rFonts w:ascii="FangSong" w:hAnsi="FangSong" w:eastAsia="FangSong" w:cs="FangSong"/>
                <w:sz w:val="31"/>
                <w:szCs w:val="31"/>
                <w:spacing w:val="-35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100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9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元</w:t>
            </w:r>
          </w:p>
        </w:tc>
      </w:tr>
      <w:tr>
        <w:trPr>
          <w:trHeight w:val="565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552"/>
              <w:spacing w:before="176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合约类型</w:t>
            </w:r>
          </w:p>
        </w:tc>
        <w:tc>
          <w:tcPr>
            <w:tcW w:w="6190" w:type="dxa"/>
            <w:vAlign w:val="top"/>
          </w:tcPr>
          <w:p>
            <w:pPr>
              <w:ind w:firstLine="1672"/>
              <w:spacing w:before="175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看涨期权、看跌期权</w:t>
            </w:r>
          </w:p>
        </w:tc>
      </w:tr>
      <w:tr>
        <w:trPr>
          <w:trHeight w:val="565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544"/>
              <w:spacing w:before="175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报价单位</w:t>
            </w:r>
          </w:p>
        </w:tc>
        <w:tc>
          <w:tcPr>
            <w:tcW w:w="6190" w:type="dxa"/>
            <w:vAlign w:val="top"/>
          </w:tcPr>
          <w:p>
            <w:pPr>
              <w:ind w:firstLine="2631"/>
              <w:spacing w:before="173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指数点</w:t>
            </w:r>
          </w:p>
        </w:tc>
      </w:tr>
      <w:tr>
        <w:trPr>
          <w:trHeight w:val="565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233"/>
              <w:spacing w:before="176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最小变动价位</w:t>
            </w:r>
          </w:p>
        </w:tc>
        <w:tc>
          <w:tcPr>
            <w:tcW w:w="6190" w:type="dxa"/>
            <w:vAlign w:val="top"/>
          </w:tcPr>
          <w:p>
            <w:pPr>
              <w:ind w:firstLine="2703"/>
              <w:spacing w:before="176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1"/>
              </w:rPr>
              <w:t>0.2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6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点</w:t>
            </w:r>
          </w:p>
        </w:tc>
      </w:tr>
      <w:tr>
        <w:trPr>
          <w:trHeight w:val="1124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236"/>
              <w:spacing w:before="174" w:line="559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17"/>
              </w:rPr>
              <w:t>每日价格最大</w:t>
            </w:r>
          </w:p>
          <w:p>
            <w:pPr>
              <w:ind w:firstLine="551"/>
              <w:spacing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波动限制</w:t>
            </w:r>
          </w:p>
        </w:tc>
        <w:tc>
          <w:tcPr>
            <w:tcW w:w="619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255"/>
              <w:spacing w:before="100" w:line="419" w:lineRule="exac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position w:val="1"/>
              </w:rPr>
              <w:t>上一交易日</w:t>
            </w:r>
            <w:r>
              <w:rPr>
                <w:rFonts w:ascii="FangSong" w:hAnsi="FangSong" w:eastAsia="FangSong" w:cs="FangSong"/>
                <w:sz w:val="31"/>
                <w:szCs w:val="31"/>
                <w:spacing w:val="-70"/>
                <w:position w:val="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position w:val="1"/>
              </w:rPr>
              <w:t>中证</w:t>
            </w:r>
            <w:r>
              <w:rPr>
                <w:rFonts w:ascii="FangSong" w:hAnsi="FangSong" w:eastAsia="FangSong" w:cs="FangSong"/>
                <w:sz w:val="31"/>
                <w:szCs w:val="31"/>
                <w:spacing w:val="-38"/>
                <w:position w:val="1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"/>
              </w:rPr>
              <w:t>1000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7"/>
                <w:position w:val="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position w:val="1"/>
              </w:rPr>
              <w:t>指数收盘价的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position w:val="1"/>
              </w:rPr>
              <w:t>±10%</w:t>
            </w:r>
          </w:p>
        </w:tc>
      </w:tr>
      <w:tr>
        <w:trPr>
          <w:trHeight w:val="565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552"/>
              <w:spacing w:before="175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合约月份</w:t>
            </w:r>
          </w:p>
        </w:tc>
        <w:tc>
          <w:tcPr>
            <w:tcW w:w="6190" w:type="dxa"/>
            <w:vAlign w:val="top"/>
          </w:tcPr>
          <w:p>
            <w:pPr>
              <w:ind w:firstLine="905"/>
              <w:spacing w:before="175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当月、下</w:t>
            </w:r>
            <w:r>
              <w:rPr>
                <w:rFonts w:ascii="FangSong" w:hAnsi="FangSong" w:eastAsia="FangSong" w:cs="FangSong"/>
                <w:sz w:val="31"/>
                <w:szCs w:val="31"/>
                <w:spacing w:val="-60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个月及随后</w:t>
            </w:r>
            <w:r>
              <w:rPr>
                <w:rFonts w:ascii="FangSong" w:hAnsi="FangSong" w:eastAsia="FangSong" w:cs="FangSong"/>
                <w:sz w:val="31"/>
                <w:szCs w:val="31"/>
                <w:spacing w:val="-60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3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5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个季月</w:t>
            </w:r>
          </w:p>
        </w:tc>
      </w:tr>
      <w:tr>
        <w:trPr>
          <w:trHeight w:val="7284" w:hRule="atLeast"/>
        </w:trPr>
        <w:tc>
          <w:tcPr>
            <w:shd w:val="clear" w:fill="D7D7D7"/>
            <w:tcW w:w="233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firstLine="546"/>
              <w:spacing w:before="101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行权价格</w:t>
            </w:r>
          </w:p>
        </w:tc>
        <w:tc>
          <w:tcPr>
            <w:tcW w:w="6190" w:type="dxa"/>
            <w:vAlign w:val="top"/>
          </w:tcPr>
          <w:p>
            <w:pPr>
              <w:ind w:left="192" w:right="107" w:firstLine="576"/>
              <w:spacing w:before="174" w:line="334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行权价格覆盖中证</w:t>
            </w:r>
            <w:r>
              <w:rPr>
                <w:rFonts w:ascii="FangSong" w:hAnsi="FangSong" w:eastAsia="FangSong" w:cs="FangSong"/>
                <w:sz w:val="31"/>
                <w:szCs w:val="31"/>
                <w:spacing w:val="-23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1000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指数上一交易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日收盘价上下浮动</w:t>
            </w:r>
            <w:r>
              <w:rPr>
                <w:rFonts w:ascii="FangSong" w:hAnsi="FangSong" w:eastAsia="FangSong" w:cs="FangSong"/>
                <w:sz w:val="31"/>
                <w:szCs w:val="31"/>
                <w:spacing w:val="-34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"/>
              </w:rPr>
              <w:t>10%</w:t>
            </w: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对应的价格范围</w:t>
            </w:r>
          </w:p>
          <w:p>
            <w:pPr>
              <w:ind w:left="108" w:right="107" w:firstLine="660"/>
              <w:spacing w:before="5" w:line="3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对</w:t>
            </w:r>
            <w:r>
              <w:rPr>
                <w:rFonts w:ascii="FangSong" w:hAnsi="FangSong" w:eastAsia="FangSong" w:cs="FangSong"/>
                <w:sz w:val="31"/>
                <w:szCs w:val="31"/>
                <w:spacing w:val="-54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当</w:t>
            </w:r>
            <w:r>
              <w:rPr>
                <w:rFonts w:ascii="FangSong" w:hAnsi="FangSong" w:eastAsia="FangSong" w:cs="FangSong"/>
                <w:sz w:val="31"/>
                <w:szCs w:val="31"/>
                <w:spacing w:val="-8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-80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与下</w:t>
            </w:r>
            <w:r>
              <w:rPr>
                <w:rFonts w:ascii="FangSong" w:hAnsi="FangSong" w:eastAsia="FangSong" w:cs="FangSong"/>
                <w:sz w:val="31"/>
                <w:szCs w:val="31"/>
                <w:spacing w:val="-31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4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个月合</w:t>
            </w:r>
            <w:r>
              <w:rPr>
                <w:rFonts w:ascii="FangSong" w:hAnsi="FangSong" w:eastAsia="FangSong" w:cs="FangSong"/>
                <w:sz w:val="31"/>
                <w:szCs w:val="31"/>
                <w:spacing w:val="-90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约：</w:t>
            </w:r>
            <w:r>
              <w:rPr>
                <w:rFonts w:ascii="FangSong" w:hAnsi="FangSong" w:eastAsia="FangSong" w:cs="FangSong"/>
                <w:sz w:val="31"/>
                <w:szCs w:val="31"/>
                <w:spacing w:val="123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行权价格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≤2500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7"/>
                <w:w w:val="10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点时，行权价格间距为</w:t>
            </w:r>
            <w:r>
              <w:rPr>
                <w:rFonts w:ascii="FangSong" w:hAnsi="FangSong" w:eastAsia="FangSong" w:cs="FangSong"/>
                <w:sz w:val="31"/>
                <w:szCs w:val="31"/>
                <w:spacing w:val="-62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25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点；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2500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点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&lt;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行权价格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0"/>
              </w:rPr>
              <w:t>≤5000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7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10"/>
              </w:rPr>
              <w:t>点时，行权价格间距为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50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7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点；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5000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点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&lt;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行权价格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"/>
              </w:rPr>
              <w:t>≤10000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9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点时，行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权价格间距为</w:t>
            </w:r>
            <w:r>
              <w:rPr>
                <w:rFonts w:ascii="FangSong" w:hAnsi="FangSong" w:eastAsia="FangSong" w:cs="FangSong"/>
                <w:sz w:val="31"/>
                <w:szCs w:val="31"/>
                <w:spacing w:val="-23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100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2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点；行权价格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"/>
              </w:rPr>
              <w:t>&gt;10000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点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时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,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8"/>
              </w:rPr>
              <w:t> 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行权价格间距为</w:t>
            </w:r>
            <w:r>
              <w:rPr>
                <w:rFonts w:ascii="FangSong" w:hAnsi="FangSong" w:eastAsia="FangSong" w:cs="FangSong"/>
                <w:sz w:val="31"/>
                <w:szCs w:val="31"/>
                <w:spacing w:val="-66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"/>
              </w:rPr>
              <w:t>200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1"/>
                <w:w w:val="10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点</w:t>
            </w:r>
          </w:p>
          <w:p>
            <w:pPr>
              <w:ind w:left="119" w:right="20" w:firstLine="649"/>
              <w:spacing w:before="8" w:line="31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对随后</w:t>
            </w:r>
            <w:r>
              <w:rPr>
                <w:rFonts w:ascii="FangSong" w:hAnsi="FangSong" w:eastAsia="FangSong" w:cs="FangSong"/>
                <w:sz w:val="31"/>
                <w:szCs w:val="31"/>
                <w:spacing w:val="-51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8"/>
              </w:rPr>
              <w:t>3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26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个季月合约：</w:t>
            </w:r>
            <w:r>
              <w:rPr>
                <w:rFonts w:ascii="FangSong" w:hAnsi="FangSong" w:eastAsia="FangSong" w:cs="FangSong"/>
                <w:sz w:val="31"/>
                <w:szCs w:val="31"/>
                <w:spacing w:val="86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行权价格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8"/>
              </w:rPr>
              <w:t>≤2500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 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点时，行权价格间距为</w:t>
            </w:r>
            <w:r>
              <w:rPr>
                <w:rFonts w:ascii="FangSong" w:hAnsi="FangSong" w:eastAsia="FangSong" w:cs="FangSong"/>
                <w:sz w:val="31"/>
                <w:szCs w:val="31"/>
                <w:spacing w:val="-47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50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9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点；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2500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51"/>
                <w:w w:val="10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点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7"/>
              </w:rPr>
              <w:t>&lt;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行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权价格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8"/>
              </w:rPr>
              <w:t>≤5000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4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点时，行权价格间距为</w:t>
            </w:r>
            <w:r>
              <w:rPr>
                <w:rFonts w:ascii="FangSong" w:hAnsi="FangSong" w:eastAsia="FangSong" w:cs="FangSong"/>
                <w:sz w:val="31"/>
                <w:szCs w:val="31"/>
                <w:spacing w:val="-51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8"/>
              </w:rPr>
              <w:t>100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0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点；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"/>
              </w:rPr>
              <w:t>5000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63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点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"/>
              </w:rPr>
              <w:t>&lt;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行权价格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"/>
              </w:rPr>
              <w:t>≤10000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4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点时，行权价格间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距为</w:t>
            </w:r>
            <w:r>
              <w:rPr>
                <w:rFonts w:ascii="FangSong" w:hAnsi="FangSong" w:eastAsia="FangSong" w:cs="FangSong"/>
                <w:sz w:val="31"/>
                <w:szCs w:val="31"/>
                <w:spacing w:val="-52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4"/>
              </w:rPr>
              <w:t>200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1"/>
                <w:w w:val="101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点；行权价格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4"/>
              </w:rPr>
              <w:t>&gt;10000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4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点时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4"/>
              </w:rPr>
              <w:t>,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14"/>
              </w:rPr>
              <w:t>  </w:t>
            </w: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行权价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579" w:bottom="0" w:left="1785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26" w:type="dxa"/>
        <w:tblInd w:w="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36"/>
        <w:gridCol w:w="6190"/>
      </w:tblGrid>
      <w:tr>
        <w:trPr>
          <w:trHeight w:val="569" w:hRule="atLeast"/>
        </w:trPr>
        <w:tc>
          <w:tcPr>
            <w:shd w:val="clear" w:fill="D7D7D7"/>
            <w:tcW w:w="23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90" w:type="dxa"/>
            <w:vAlign w:val="top"/>
          </w:tcPr>
          <w:p>
            <w:pPr>
              <w:ind w:firstLine="124"/>
              <w:spacing w:before="180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格间距为</w:t>
            </w:r>
            <w:r>
              <w:rPr>
                <w:rFonts w:ascii="FangSong" w:hAnsi="FangSong" w:eastAsia="FangSong" w:cs="FangSong"/>
                <w:sz w:val="31"/>
                <w:szCs w:val="31"/>
                <w:spacing w:val="-65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"/>
              </w:rPr>
              <w:t>400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42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点</w:t>
            </w:r>
          </w:p>
        </w:tc>
      </w:tr>
      <w:tr>
        <w:trPr>
          <w:trHeight w:val="564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546"/>
              <w:spacing w:before="175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行权方式</w:t>
            </w:r>
          </w:p>
        </w:tc>
        <w:tc>
          <w:tcPr>
            <w:tcW w:w="6190" w:type="dxa"/>
            <w:vAlign w:val="top"/>
          </w:tcPr>
          <w:p>
            <w:pPr>
              <w:ind w:firstLine="2812"/>
              <w:spacing w:before="174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欧式</w:t>
            </w:r>
          </w:p>
        </w:tc>
      </w:tr>
      <w:tr>
        <w:trPr>
          <w:trHeight w:val="564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551"/>
              <w:spacing w:before="176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交易时间</w:t>
            </w:r>
          </w:p>
        </w:tc>
        <w:tc>
          <w:tcPr>
            <w:tcW w:w="6190" w:type="dxa"/>
            <w:vAlign w:val="top"/>
          </w:tcPr>
          <w:p>
            <w:pPr>
              <w:ind w:firstLine="1468"/>
              <w:spacing w:before="233" w:line="184" w:lineRule="auto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"/>
              </w:rPr>
              <w:t>9:30-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20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"/>
              </w:rPr>
              <w:t>11:30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3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，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"/>
              </w:rPr>
              <w:t>13:00-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8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3"/>
              </w:rPr>
              <w:t>15:00</w:t>
            </w:r>
          </w:p>
        </w:tc>
      </w:tr>
      <w:tr>
        <w:trPr>
          <w:trHeight w:val="1124" w:hRule="atLeast"/>
        </w:trPr>
        <w:tc>
          <w:tcPr>
            <w:shd w:val="clear" w:fill="D7D7D7"/>
            <w:tcW w:w="233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firstLine="394"/>
              <w:spacing w:before="101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最后交易日</w:t>
            </w:r>
          </w:p>
        </w:tc>
        <w:tc>
          <w:tcPr>
            <w:tcW w:w="6190" w:type="dxa"/>
            <w:vAlign w:val="top"/>
          </w:tcPr>
          <w:p>
            <w:pPr>
              <w:ind w:firstLine="134"/>
              <w:spacing w:before="177" w:line="561" w:lineRule="exac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  <w:position w:val="18"/>
              </w:rPr>
              <w:t>合约到期月份的第三个星期五，遇国家法定</w:t>
            </w:r>
          </w:p>
          <w:p>
            <w:pPr>
              <w:ind w:firstLine="2475"/>
              <w:spacing w:before="1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假日顺延</w:t>
            </w:r>
          </w:p>
        </w:tc>
      </w:tr>
      <w:tr>
        <w:trPr>
          <w:trHeight w:val="565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715"/>
              <w:spacing w:before="177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到期日</w:t>
            </w:r>
          </w:p>
        </w:tc>
        <w:tc>
          <w:tcPr>
            <w:tcW w:w="6190" w:type="dxa"/>
            <w:vAlign w:val="top"/>
          </w:tcPr>
          <w:p>
            <w:pPr>
              <w:ind w:firstLine="2188"/>
              <w:spacing w:before="178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同最后交易日</w:t>
            </w:r>
          </w:p>
        </w:tc>
      </w:tr>
      <w:tr>
        <w:trPr>
          <w:trHeight w:val="565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551"/>
              <w:spacing w:before="179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交割方式</w:t>
            </w:r>
          </w:p>
        </w:tc>
        <w:tc>
          <w:tcPr>
            <w:tcW w:w="6190" w:type="dxa"/>
            <w:vAlign w:val="top"/>
          </w:tcPr>
          <w:p>
            <w:pPr>
              <w:ind w:firstLine="2471"/>
              <w:spacing w:before="179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现金交割</w:t>
            </w:r>
          </w:p>
        </w:tc>
      </w:tr>
      <w:tr>
        <w:trPr>
          <w:trHeight w:val="1124" w:hRule="atLeast"/>
        </w:trPr>
        <w:tc>
          <w:tcPr>
            <w:shd w:val="clear" w:fill="D7D7D7"/>
            <w:tcW w:w="233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firstLine="551"/>
              <w:spacing w:before="101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交易代码</w:t>
            </w:r>
          </w:p>
        </w:tc>
        <w:tc>
          <w:tcPr>
            <w:tcW w:w="6190" w:type="dxa"/>
            <w:vAlign w:val="top"/>
          </w:tcPr>
          <w:p>
            <w:pPr>
              <w:ind w:firstLine="522"/>
              <w:spacing w:before="179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看涨期权：</w:t>
            </w:r>
            <w:r>
              <w:rPr>
                <w:rFonts w:ascii="FangSong" w:hAnsi="FangSong" w:eastAsia="FangSong" w:cs="FangSong"/>
                <w:sz w:val="31"/>
                <w:szCs w:val="31"/>
                <w:spacing w:val="75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7"/>
              </w:rPr>
              <w:t>MO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4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合约月份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7"/>
              </w:rPr>
              <w:t>-C-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行权价格</w:t>
            </w:r>
          </w:p>
          <w:p>
            <w:pPr>
              <w:ind w:firstLine="542"/>
              <w:spacing w:before="179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看跌期权：</w:t>
            </w:r>
            <w:r>
              <w:rPr>
                <w:rFonts w:ascii="FangSong" w:hAnsi="FangSong" w:eastAsia="FangSong" w:cs="FangSong"/>
                <w:sz w:val="31"/>
                <w:szCs w:val="31"/>
                <w:spacing w:val="73"/>
              </w:rPr>
              <w:t> 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7"/>
              </w:rPr>
              <w:t>MO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32"/>
              </w:rPr>
              <w:t> 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合约月份</w:t>
            </w:r>
            <w:r>
              <w:rPr>
                <w:rFonts w:ascii="Times New Roman" w:hAnsi="Times New Roman" w:eastAsia="Times New Roman" w:cs="Times New Roman"/>
                <w:sz w:val="31"/>
                <w:szCs w:val="31"/>
                <w:spacing w:val="-7"/>
              </w:rPr>
              <w:t>-P-</w:t>
            </w: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行权价格</w:t>
            </w:r>
          </w:p>
        </w:tc>
      </w:tr>
      <w:tr>
        <w:trPr>
          <w:trHeight w:val="569" w:hRule="atLeast"/>
        </w:trPr>
        <w:tc>
          <w:tcPr>
            <w:shd w:val="clear" w:fill="D7D7D7"/>
            <w:tcW w:w="2336" w:type="dxa"/>
            <w:vAlign w:val="top"/>
          </w:tcPr>
          <w:p>
            <w:pPr>
              <w:ind w:firstLine="388"/>
              <w:spacing w:before="179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上市交易所</w:t>
            </w:r>
          </w:p>
        </w:tc>
        <w:tc>
          <w:tcPr>
            <w:tcW w:w="6190" w:type="dxa"/>
            <w:vAlign w:val="top"/>
          </w:tcPr>
          <w:p>
            <w:pPr>
              <w:ind w:firstLine="1712"/>
              <w:spacing w:before="179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中国金融期货交易所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579" w:bottom="0" w:left="1785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戴金波</dc:creator>
  <dcterms:created xsi:type="dcterms:W3CDTF">2022-07-15T09:09:27Z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2022-07-20T15:55:49</vt:filetime>
  </op:property>
</op:Properties>
</file>