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2267"/>
        <w:spacing w:before="140" w:line="575" w:lineRule="exact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2"/>
          <w:position w:val="2"/>
        </w:rPr>
        <w:t>中证</w:t>
      </w:r>
      <w:r>
        <w:rPr>
          <w:rFonts w:ascii="SimHei" w:hAnsi="SimHei" w:eastAsia="SimHei" w:cs="SimHei"/>
          <w:sz w:val="43"/>
          <w:szCs w:val="43"/>
          <w:spacing w:val="-46"/>
          <w:position w:val="2"/>
        </w:rPr>
        <w:t> </w:t>
      </w:r>
      <w:r>
        <w:rPr>
          <w:rFonts w:ascii="Times New Roman" w:hAnsi="Times New Roman" w:eastAsia="Times New Roman" w:cs="Times New Roman"/>
          <w:sz w:val="43"/>
          <w:szCs w:val="43"/>
          <w:spacing w:val="-2"/>
          <w:position w:val="2"/>
        </w:rPr>
        <w:t>1000</w:t>
      </w:r>
      <w:r>
        <w:rPr>
          <w:rFonts w:ascii="Times New Roman" w:hAnsi="Times New Roman" w:eastAsia="Times New Roman" w:cs="Times New Roman"/>
          <w:sz w:val="43"/>
          <w:szCs w:val="43"/>
          <w:spacing w:val="19"/>
          <w:position w:val="2"/>
        </w:rPr>
        <w:t> </w:t>
      </w:r>
      <w:r>
        <w:rPr>
          <w:rFonts w:ascii="SimHei" w:hAnsi="SimHei" w:eastAsia="SimHei" w:cs="SimHei"/>
          <w:sz w:val="43"/>
          <w:szCs w:val="43"/>
          <w:spacing w:val="-2"/>
          <w:position w:val="2"/>
        </w:rPr>
        <w:t>股指期货合约</w:t>
      </w:r>
    </w:p>
    <w:p>
      <w:pPr>
        <w:rPr/>
      </w:pPr>
      <w:r/>
    </w:p>
    <w:p>
      <w:pPr>
        <w:spacing w:line="45" w:lineRule="exact"/>
        <w:rPr/>
      </w:pPr>
      <w:r/>
    </w:p>
    <w:tbl>
      <w:tblPr>
        <w:tblStyle w:val="2"/>
        <w:tblW w:w="90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37"/>
        <w:gridCol w:w="6417"/>
      </w:tblGrid>
      <w:tr>
        <w:trPr>
          <w:trHeight w:val="566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704"/>
              <w:spacing w:before="158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合约标的</w:t>
            </w:r>
          </w:p>
        </w:tc>
        <w:tc>
          <w:tcPr>
            <w:tcW w:w="6417" w:type="dxa"/>
            <w:vAlign w:val="top"/>
          </w:tcPr>
          <w:p>
            <w:pPr>
              <w:ind w:firstLine="2227"/>
              <w:spacing w:before="158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中证</w:t>
            </w:r>
            <w:r>
              <w:rPr>
                <w:rFonts w:ascii="FangSong" w:hAnsi="FangSong" w:eastAsia="FangSong" w:cs="FangSong"/>
                <w:sz w:val="31"/>
                <w:szCs w:val="31"/>
                <w:spacing w:val="-3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6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指数</w:t>
            </w:r>
          </w:p>
        </w:tc>
      </w:tr>
      <w:tr>
        <w:trPr>
          <w:trHeight w:val="561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704"/>
              <w:spacing w:before="154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合约乘数</w:t>
            </w:r>
          </w:p>
        </w:tc>
        <w:tc>
          <w:tcPr>
            <w:tcW w:w="6417" w:type="dxa"/>
            <w:vAlign w:val="top"/>
          </w:tcPr>
          <w:p>
            <w:pPr>
              <w:ind w:firstLine="1957"/>
              <w:spacing w:before="153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每点人民币</w:t>
            </w:r>
            <w:r>
              <w:rPr>
                <w:rFonts w:ascii="FangSong" w:hAnsi="FangSong" w:eastAsia="FangSong" w:cs="FangSong"/>
                <w:sz w:val="31"/>
                <w:szCs w:val="31"/>
                <w:spacing w:val="-62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200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9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元</w:t>
            </w:r>
          </w:p>
        </w:tc>
      </w:tr>
      <w:tr>
        <w:trPr>
          <w:trHeight w:val="56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695"/>
              <w:spacing w:before="155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报价单位</w:t>
            </w:r>
          </w:p>
        </w:tc>
        <w:tc>
          <w:tcPr>
            <w:tcW w:w="6417" w:type="dxa"/>
            <w:vAlign w:val="top"/>
          </w:tcPr>
          <w:p>
            <w:pPr>
              <w:ind w:firstLine="2745"/>
              <w:spacing w:before="153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指数点</w:t>
            </w:r>
          </w:p>
        </w:tc>
      </w:tr>
      <w:tr>
        <w:trPr>
          <w:trHeight w:val="56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382"/>
              <w:spacing w:before="154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最小变动价位</w:t>
            </w:r>
          </w:p>
        </w:tc>
        <w:tc>
          <w:tcPr>
            <w:tcW w:w="6417" w:type="dxa"/>
            <w:vAlign w:val="top"/>
          </w:tcPr>
          <w:p>
            <w:pPr>
              <w:ind w:firstLine="2815"/>
              <w:spacing w:before="154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0.2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6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点</w:t>
            </w:r>
          </w:p>
        </w:tc>
      </w:tr>
      <w:tr>
        <w:trPr>
          <w:trHeight w:val="561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704"/>
              <w:spacing w:before="155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合约月份</w:t>
            </w:r>
          </w:p>
        </w:tc>
        <w:tc>
          <w:tcPr>
            <w:tcW w:w="6417" w:type="dxa"/>
            <w:vAlign w:val="top"/>
          </w:tcPr>
          <w:p>
            <w:pPr>
              <w:ind w:firstLine="1339"/>
              <w:spacing w:before="155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当月、下月及随后两个季月</w:t>
            </w:r>
          </w:p>
        </w:tc>
      </w:tr>
      <w:tr>
        <w:trPr>
          <w:trHeight w:val="56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702"/>
              <w:spacing w:before="155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交易时间</w:t>
            </w:r>
          </w:p>
        </w:tc>
        <w:tc>
          <w:tcPr>
            <w:tcW w:w="6417" w:type="dxa"/>
            <w:vAlign w:val="top"/>
          </w:tcPr>
          <w:p>
            <w:pPr>
              <w:ind w:firstLine="1654"/>
              <w:spacing w:before="209" w:line="193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>9:30-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9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>11:30,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0"/>
                <w:w w:val="10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>13:00-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9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>15:00</w:t>
            </w:r>
          </w:p>
        </w:tc>
      </w:tr>
      <w:tr>
        <w:trPr>
          <w:trHeight w:val="1208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385"/>
              <w:spacing w:before="155" w:line="62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23"/>
              </w:rPr>
              <w:t>每日价格最大</w:t>
            </w:r>
          </w:p>
          <w:p>
            <w:pPr>
              <w:ind w:firstLine="702"/>
              <w:spacing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波动限制</w:t>
            </w:r>
          </w:p>
        </w:tc>
        <w:tc>
          <w:tcPr>
            <w:tcW w:w="64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firstLine="1248"/>
              <w:spacing w:before="101" w:line="418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  <w:position w:val="1"/>
              </w:rPr>
              <w:t>上一个交易日结算价的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  <w:position w:val="1"/>
              </w:rPr>
              <w:t>±10%</w:t>
            </w:r>
          </w:p>
        </w:tc>
      </w:tr>
      <w:tr>
        <w:trPr>
          <w:trHeight w:val="56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221"/>
              <w:spacing w:before="157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最低交易保证金</w:t>
            </w:r>
          </w:p>
        </w:tc>
        <w:tc>
          <w:tcPr>
            <w:tcW w:w="6417" w:type="dxa"/>
            <w:vAlign w:val="top"/>
          </w:tcPr>
          <w:p>
            <w:pPr>
              <w:ind w:firstLine="2180"/>
              <w:spacing w:before="110" w:line="418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  <w:position w:val="1"/>
              </w:rPr>
              <w:t>合约价值的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48"/>
                <w:position w:val="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  <w:position w:val="1"/>
              </w:rPr>
              <w:t>8%</w:t>
            </w:r>
          </w:p>
        </w:tc>
      </w:tr>
      <w:tr>
        <w:trPr>
          <w:trHeight w:val="135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firstLine="543"/>
              <w:spacing w:before="100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最后交易日</w:t>
            </w:r>
          </w:p>
        </w:tc>
        <w:tc>
          <w:tcPr>
            <w:tcW w:w="6417" w:type="dxa"/>
            <w:vAlign w:val="top"/>
          </w:tcPr>
          <w:p>
            <w:pPr>
              <w:ind w:firstLine="193"/>
              <w:spacing w:before="206" w:line="62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23"/>
              </w:rPr>
              <w:t>合约到期月份的第三个星期五，遇国家法定</w:t>
            </w:r>
          </w:p>
          <w:p>
            <w:pPr>
              <w:ind w:firstLine="2587"/>
              <w:spacing w:before="1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假日顺延</w:t>
            </w:r>
          </w:p>
        </w:tc>
      </w:tr>
      <w:tr>
        <w:trPr>
          <w:trHeight w:val="56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702"/>
              <w:spacing w:before="15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交割日期</w:t>
            </w:r>
          </w:p>
        </w:tc>
        <w:tc>
          <w:tcPr>
            <w:tcW w:w="6417" w:type="dxa"/>
            <w:vAlign w:val="top"/>
          </w:tcPr>
          <w:p>
            <w:pPr>
              <w:ind w:firstLine="2303"/>
              <w:spacing w:before="15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同最后交易日</w:t>
            </w:r>
          </w:p>
        </w:tc>
      </w:tr>
      <w:tr>
        <w:trPr>
          <w:trHeight w:val="56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702"/>
              <w:spacing w:before="156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交割方式</w:t>
            </w:r>
          </w:p>
        </w:tc>
        <w:tc>
          <w:tcPr>
            <w:tcW w:w="6417" w:type="dxa"/>
            <w:vAlign w:val="top"/>
          </w:tcPr>
          <w:p>
            <w:pPr>
              <w:ind w:firstLine="2583"/>
              <w:spacing w:before="156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现金交割</w:t>
            </w:r>
          </w:p>
        </w:tc>
      </w:tr>
      <w:tr>
        <w:trPr>
          <w:trHeight w:val="562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702"/>
              <w:spacing w:before="158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交易代码</w:t>
            </w:r>
          </w:p>
        </w:tc>
        <w:tc>
          <w:tcPr>
            <w:tcW w:w="6417" w:type="dxa"/>
            <w:vAlign w:val="top"/>
          </w:tcPr>
          <w:p>
            <w:pPr>
              <w:ind w:firstLine="3017"/>
              <w:spacing w:before="216" w:line="18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IM</w:t>
            </w:r>
          </w:p>
        </w:tc>
      </w:tr>
      <w:tr>
        <w:trPr>
          <w:trHeight w:val="566" w:hRule="atLeast"/>
        </w:trPr>
        <w:tc>
          <w:tcPr>
            <w:shd w:val="clear" w:fill="D8D8D8"/>
            <w:tcW w:w="2637" w:type="dxa"/>
            <w:vAlign w:val="top"/>
          </w:tcPr>
          <w:p>
            <w:pPr>
              <w:ind w:firstLine="537"/>
              <w:spacing w:before="158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上市交易所</w:t>
            </w:r>
          </w:p>
        </w:tc>
        <w:tc>
          <w:tcPr>
            <w:tcW w:w="6417" w:type="dxa"/>
            <w:vAlign w:val="top"/>
          </w:tcPr>
          <w:p>
            <w:pPr>
              <w:ind w:firstLine="1826"/>
              <w:spacing w:before="158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中国金融期货交易所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23" w:bottom="0" w:left="1423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普丽芬:承办人拟稿</dc:creator>
  <dcterms:created xsi:type="dcterms:W3CDTF">2022-07-15T10:23:46Z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2022-07-20T15:55:49</vt:filetime>
  </op:property>
</op:Properties>
</file>