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1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涤纶短纤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spacing w:line="360" w:lineRule="auto"/>
        <w:ind w:firstLine="240" w:firstLineChars="100"/>
        <w:outlineLvl w:val="0"/>
        <w:rPr>
          <w:rFonts w:ascii="楷体" w:hAnsi="楷体" w:eastAsia="楷体"/>
          <w:sz w:val="24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</w:t>
      </w:r>
      <w:r>
        <w:rPr>
          <w:rFonts w:hint="eastAsia" w:ascii="楷体" w:hAnsi="楷体" w:eastAsia="楷体"/>
          <w:sz w:val="24"/>
        </w:rPr>
        <w:t>日起施行）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67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合约标的物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合约类型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交易单位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eastAsia="仿宋"/>
                <w:sz w:val="24"/>
              </w:rPr>
              <w:t>1</w:t>
            </w:r>
            <w:r>
              <w:rPr>
                <w:rFonts w:hint="eastAsia" w:ascii="Times" w:hAnsi="Times" w:eastAsia="仿宋"/>
                <w:sz w:val="24"/>
              </w:rPr>
              <w:t>手涤纶短纤期货合约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报价单位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元（人民币）</w:t>
            </w:r>
            <w:r>
              <w:rPr>
                <w:rFonts w:ascii="Times" w:hAnsi="Times" w:eastAsia="仿宋"/>
                <w:sz w:val="24"/>
              </w:rPr>
              <w:t>/</w:t>
            </w:r>
            <w:r>
              <w:rPr>
                <w:rFonts w:hint="eastAsia" w:ascii="Times" w:hAnsi="Times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最小变动价位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eastAsia="仿宋"/>
                <w:sz w:val="24"/>
              </w:rPr>
              <w:t>0.5</w:t>
            </w:r>
            <w:r>
              <w:rPr>
                <w:rFonts w:hint="eastAsia" w:ascii="Times" w:hAnsi="Times" w:eastAsia="仿宋"/>
                <w:sz w:val="24"/>
              </w:rPr>
              <w:t>元</w:t>
            </w:r>
            <w:r>
              <w:rPr>
                <w:rFonts w:ascii="Times" w:hAnsi="Times" w:eastAsia="仿宋"/>
                <w:sz w:val="24"/>
              </w:rPr>
              <w:t>/</w:t>
            </w:r>
            <w:r>
              <w:rPr>
                <w:rFonts w:hint="eastAsia" w:ascii="Times" w:hAnsi="Times" w:eastAsia="仿宋"/>
                <w:sz w:val="24"/>
              </w:rPr>
              <w:t>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涨跌停板幅度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与涤纶短纤期货合约涨跌停板幅度相同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合约月份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标的期货合约中的连续两个近月，其后月份在标的期货合约结算后持仓量达到</w:t>
            </w:r>
            <w:r>
              <w:rPr>
                <w:rFonts w:eastAsia="仿宋"/>
                <w:sz w:val="24"/>
              </w:rPr>
              <w:t>10000</w:t>
            </w:r>
            <w:r>
              <w:rPr>
                <w:rFonts w:hint="eastAsia" w:ascii="Times" w:hAnsi="Times" w:eastAsia="仿宋"/>
                <w:sz w:val="24"/>
              </w:rPr>
              <w:t>手（单边）之后的第二个交易日挂牌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交易时间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每周一至周五上午</w:t>
            </w:r>
            <w:r>
              <w:rPr>
                <w:rFonts w:ascii="Times" w:hAnsi="Times" w:eastAsia="仿宋"/>
                <w:sz w:val="24"/>
              </w:rPr>
              <w:t>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ascii="Times" w:hAnsi="Times" w:eastAsia="仿宋"/>
                <w:sz w:val="24"/>
              </w:rPr>
              <w:t>11:30</w:t>
            </w:r>
            <w:r>
              <w:rPr>
                <w:rFonts w:hint="eastAsia" w:ascii="Times" w:hAnsi="Times" w:eastAsia="仿宋"/>
                <w:sz w:val="24"/>
              </w:rPr>
              <w:t>，下午</w:t>
            </w:r>
            <w:r>
              <w:rPr>
                <w:rFonts w:ascii="Times" w:hAnsi="Times" w:eastAsia="仿宋"/>
                <w:sz w:val="24"/>
              </w:rPr>
              <w:t>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ascii="Times" w:hAnsi="Times" w:eastAsia="仿宋"/>
                <w:sz w:val="24"/>
              </w:rPr>
              <w:t>15:00</w:t>
            </w:r>
            <w:r>
              <w:rPr>
                <w:rFonts w:hint="eastAsia" w:ascii="Times" w:hAnsi="Times" w:eastAsia="仿宋"/>
                <w:sz w:val="24"/>
              </w:rPr>
              <w:t>，以及交易所规定的其他交易时间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最后交易日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标的期货合约交割月份前一个月第15个日历日之前（含该日）的倒数第3个交易日，以及交易所规定的其他日期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到期日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行权价格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  <w:r>
              <w:rPr>
                <w:rFonts w:hint="eastAsia" w:ascii="Times" w:hAnsi="Times" w:eastAsia="仿宋"/>
                <w:sz w:val="24"/>
              </w:rPr>
              <w:t>覆盖标的期货合约上一交易日结算价上下浮动1.5倍当日涨跌停板幅度对应的价格范围。行权价格≤5000元/吨，行权价格间距为50元/吨；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行权方式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美式。买方可在到期日前任一交易日的交易时间提交行权申请；买方可在到期日</w:t>
            </w:r>
            <w:r>
              <w:rPr>
                <w:rFonts w:eastAsia="仿宋"/>
                <w:sz w:val="24"/>
              </w:rPr>
              <w:t>15:30</w:t>
            </w:r>
            <w:r>
              <w:rPr>
                <w:rFonts w:hint="eastAsia" w:ascii="Times" w:hAnsi="Times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交易代码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看涨期权：</w:t>
            </w:r>
            <w:r>
              <w:rPr>
                <w:rFonts w:ascii="Times" w:hAnsi="Times" w:eastAsia="仿宋"/>
                <w:sz w:val="24"/>
              </w:rPr>
              <w:t>PF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Times" w:hAnsi="Times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ascii="Times" w:hAnsi="Times"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Times" w:hAnsi="Times" w:eastAsia="仿宋"/>
                <w:sz w:val="24"/>
              </w:rPr>
              <w:t>行权价格</w:t>
            </w:r>
          </w:p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看跌期权：</w:t>
            </w:r>
            <w:r>
              <w:rPr>
                <w:rFonts w:ascii="Times" w:hAnsi="Times" w:eastAsia="仿宋"/>
                <w:sz w:val="24"/>
              </w:rPr>
              <w:t>PF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Times" w:hAnsi="Times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ascii="Times" w:hAnsi="Times" w:eastAsia="仿宋"/>
                <w:sz w:val="24"/>
              </w:rPr>
              <w:t>P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Times" w:hAnsi="Times"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上市交易所</w:t>
            </w:r>
          </w:p>
        </w:tc>
        <w:tc>
          <w:tcPr>
            <w:tcW w:w="39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uppressAutoHyphens/>
              <w:rPr>
                <w:rFonts w:ascii="Times" w:hAnsi="Times" w:eastAsia="仿宋"/>
                <w:sz w:val="24"/>
              </w:rPr>
            </w:pPr>
            <w:r>
              <w:rPr>
                <w:rFonts w:hint="eastAsia" w:ascii="Times" w:hAnsi="Times"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6784381"/>
    <w:rsid w:val="1E2DBE18"/>
    <w:rsid w:val="27772777"/>
    <w:rsid w:val="27E3FDD6"/>
    <w:rsid w:val="35FDEF76"/>
    <w:rsid w:val="4330113E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